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adjustRightInd w:val="0"/>
        <w:snapToGrid w:val="0"/>
        <w:spacing w:before="72" w:beforeLines="30" w:after="72" w:afterLines="30" w:line="288" w:lineRule="auto"/>
        <w:jc w:val="left"/>
        <w:rPr>
          <w:rFonts w:ascii="Arial" w:hAnsi="Arial" w:cs="Arial"/>
          <w:b/>
          <w:sz w:val="22"/>
          <w:szCs w:val="22"/>
          <w:lang w:val="en-US" w:eastAsia="zh-CN"/>
        </w:rPr>
      </w:pPr>
      <w:bookmarkStart w:id="0" w:name="_Ref494746248"/>
      <w:r>
        <w:rPr>
          <w:rFonts w:ascii="Arial" w:hAnsi="Arial" w:eastAsia="Times New Roman" w:cs="Arial"/>
          <w:b/>
          <w:sz w:val="22"/>
          <w:szCs w:val="22"/>
        </w:rPr>
        <w:t>3GPP TSG RAN WG1 #12</w:t>
      </w:r>
      <w:r>
        <w:rPr>
          <w:rFonts w:hint="eastAsia" w:ascii="Arial" w:hAnsi="Arial" w:cs="Arial"/>
          <w:b/>
          <w:sz w:val="22"/>
          <w:szCs w:val="22"/>
          <w:lang w:val="en-US" w:eastAsia="zh-CN"/>
        </w:rPr>
        <w:t>2</w:t>
      </w:r>
      <w:r>
        <w:rPr>
          <w:rFonts w:ascii="Arial" w:hAnsi="Arial" w:eastAsia="Times New Roman" w:cs="Arial"/>
          <w:b/>
          <w:sz w:val="22"/>
          <w:szCs w:val="22"/>
        </w:rPr>
        <w:tab/>
      </w:r>
      <w:r>
        <w:rPr>
          <w:rFonts w:ascii="Arial" w:hAnsi="Arial" w:eastAsia="Times New Roman" w:cs="Arial"/>
          <w:b/>
          <w:sz w:val="22"/>
          <w:szCs w:val="22"/>
        </w:rPr>
        <w:t>R1-250</w:t>
      </w:r>
      <w:r>
        <w:rPr>
          <w:rFonts w:hint="eastAsia" w:ascii="Arial" w:hAnsi="Arial" w:cs="Arial"/>
          <w:b/>
          <w:sz w:val="22"/>
          <w:szCs w:val="22"/>
          <w:lang w:val="en-US" w:eastAsia="zh-CN"/>
        </w:rPr>
        <w:t>5485</w:t>
      </w:r>
    </w:p>
    <w:p>
      <w:pPr>
        <w:tabs>
          <w:tab w:val="right" w:pos="9630"/>
        </w:tabs>
        <w:adjustRightInd w:val="0"/>
        <w:snapToGrid w:val="0"/>
        <w:spacing w:before="72" w:beforeLines="30" w:after="240" w:afterLines="100" w:line="288" w:lineRule="auto"/>
        <w:jc w:val="left"/>
        <w:rPr>
          <w:rFonts w:ascii="Arial" w:hAnsi="Arial" w:eastAsia="Times New Roman" w:cs="Arial"/>
          <w:b/>
          <w:sz w:val="22"/>
          <w:szCs w:val="22"/>
          <w:lang w:eastAsia="zh-CN"/>
        </w:rPr>
      </w:pPr>
      <w:r>
        <w:rPr>
          <w:rFonts w:hint="eastAsia" w:ascii="Arial" w:hAnsi="Arial" w:eastAsia="Times New Roman" w:cs="Arial"/>
          <w:b/>
          <w:sz w:val="22"/>
          <w:szCs w:val="22"/>
          <w:lang w:val="en-US" w:eastAsia="zh-CN"/>
        </w:rPr>
        <w:t>Bengaluru</w:t>
      </w:r>
      <w:r>
        <w:rPr>
          <w:rFonts w:ascii="Arial" w:hAnsi="Arial" w:eastAsia="Times New Roman" w:cs="Arial"/>
          <w:b/>
          <w:sz w:val="22"/>
          <w:szCs w:val="22"/>
          <w:lang w:val="en-US" w:eastAsia="zh-CN"/>
        </w:rPr>
        <w:t xml:space="preserve">, </w:t>
      </w:r>
      <w:r>
        <w:rPr>
          <w:rFonts w:hint="eastAsia" w:ascii="Arial" w:hAnsi="Arial" w:eastAsia="Times New Roman" w:cs="Arial"/>
          <w:b/>
          <w:sz w:val="22"/>
          <w:szCs w:val="22"/>
          <w:lang w:val="en-US" w:eastAsia="zh-CN"/>
        </w:rPr>
        <w:t>India</w:t>
      </w:r>
      <w:r>
        <w:rPr>
          <w:rFonts w:ascii="Arial" w:hAnsi="Arial" w:eastAsia="Times New Roman" w:cs="Arial"/>
          <w:b/>
          <w:sz w:val="22"/>
          <w:szCs w:val="22"/>
          <w:lang w:eastAsia="zh-CN"/>
        </w:rPr>
        <w:t xml:space="preserve">, </w:t>
      </w:r>
      <w:r>
        <w:rPr>
          <w:rFonts w:hint="eastAsia" w:ascii="Arial" w:hAnsi="Arial" w:eastAsia="Times New Roman" w:cs="Arial"/>
          <w:b/>
          <w:sz w:val="22"/>
          <w:szCs w:val="22"/>
          <w:lang w:val="en-US" w:eastAsia="zh-CN"/>
        </w:rPr>
        <w:t>August 25</w:t>
      </w:r>
      <w:r>
        <w:rPr>
          <w:rFonts w:ascii="Arial" w:hAnsi="Arial" w:eastAsia="Times New Roman" w:cs="Arial"/>
          <w:b/>
          <w:sz w:val="22"/>
          <w:szCs w:val="22"/>
          <w:vertAlign w:val="superscript"/>
          <w:lang w:eastAsia="zh-CN"/>
        </w:rPr>
        <w:t>th</w:t>
      </w:r>
      <w:r>
        <w:rPr>
          <w:rFonts w:ascii="Arial" w:hAnsi="Arial" w:eastAsia="Times New Roman" w:cs="Arial"/>
          <w:b/>
          <w:sz w:val="22"/>
          <w:szCs w:val="22"/>
          <w:lang w:eastAsia="zh-CN"/>
        </w:rPr>
        <w:t>–</w:t>
      </w:r>
      <w:r>
        <w:rPr>
          <w:rFonts w:hint="eastAsia" w:ascii="Arial" w:hAnsi="Arial" w:eastAsia="Times New Roman" w:cs="Arial"/>
          <w:b/>
          <w:sz w:val="22"/>
          <w:szCs w:val="22"/>
          <w:lang w:val="en-US" w:eastAsia="zh-CN"/>
        </w:rPr>
        <w:t>29</w:t>
      </w:r>
      <w:r>
        <w:rPr>
          <w:rFonts w:hint="eastAsia" w:ascii="Arial" w:hAnsi="Arial" w:eastAsia="Times New Roman" w:cs="Arial"/>
          <w:b/>
          <w:sz w:val="22"/>
          <w:szCs w:val="22"/>
          <w:vertAlign w:val="superscript"/>
          <w:lang w:val="en-US" w:eastAsia="zh-CN"/>
        </w:rPr>
        <w:t>th</w:t>
      </w:r>
      <w:r>
        <w:rPr>
          <w:rFonts w:ascii="Arial" w:hAnsi="Arial" w:eastAsia="Times New Roman" w:cs="Arial"/>
          <w:b/>
          <w:sz w:val="22"/>
          <w:szCs w:val="22"/>
          <w:lang w:eastAsia="zh-CN"/>
        </w:rPr>
        <w:t>, 2025</w:t>
      </w:r>
    </w:p>
    <w:p>
      <w:pPr>
        <w:tabs>
          <w:tab w:val="left" w:pos="1985"/>
        </w:tabs>
        <w:adjustRightInd w:val="0"/>
        <w:snapToGrid w:val="0"/>
        <w:spacing w:before="72" w:beforeLines="30" w:after="72" w:afterLines="30" w:line="288" w:lineRule="auto"/>
        <w:jc w:val="left"/>
        <w:rPr>
          <w:rFonts w:ascii="Arial" w:hAnsi="Arial" w:eastAsia="Times New Roman"/>
          <w:b/>
        </w:rPr>
      </w:pPr>
      <w:r>
        <w:rPr>
          <w:rFonts w:ascii="Arial" w:hAnsi="Arial" w:eastAsia="Times New Roman"/>
          <w:b/>
        </w:rPr>
        <w:t xml:space="preserve">Title: </w:t>
      </w:r>
      <w:r>
        <w:rPr>
          <w:rFonts w:hint="eastAsia" w:ascii="Arial" w:hAnsi="Arial"/>
          <w:b/>
          <w:lang w:val="en-US" w:eastAsia="zh-CN"/>
        </w:rPr>
        <w:t xml:space="preserve">                  </w:t>
      </w:r>
      <w:r>
        <w:rPr>
          <w:rFonts w:ascii="Arial" w:hAnsi="Arial" w:eastAsia="Times New Roman"/>
          <w:b/>
        </w:rPr>
        <w:t xml:space="preserve">Discussion on </w:t>
      </w:r>
      <w:r>
        <w:rPr>
          <w:rFonts w:hint="eastAsia" w:ascii="Arial" w:hAnsi="Arial"/>
          <w:b/>
          <w:lang w:val="en-US" w:eastAsia="zh-CN"/>
        </w:rPr>
        <w:t>maintenance</w:t>
      </w:r>
      <w:r>
        <w:rPr>
          <w:rFonts w:ascii="Arial" w:hAnsi="Arial" w:eastAsia="Times New Roman"/>
          <w:b/>
        </w:rPr>
        <w:t xml:space="preserve"> </w:t>
      </w:r>
      <w:r>
        <w:rPr>
          <w:rFonts w:hint="eastAsia" w:ascii="Arial" w:hAnsi="Arial"/>
          <w:b/>
          <w:lang w:val="en-US" w:eastAsia="zh-CN"/>
        </w:rPr>
        <w:t xml:space="preserve">of </w:t>
      </w:r>
      <w:r>
        <w:rPr>
          <w:rFonts w:ascii="Arial" w:hAnsi="Arial" w:eastAsia="Times New Roman"/>
          <w:b/>
        </w:rPr>
        <w:t>AI CSI prediction</w:t>
      </w:r>
    </w:p>
    <w:p>
      <w:pPr>
        <w:tabs>
          <w:tab w:val="left" w:pos="1985"/>
        </w:tabs>
        <w:adjustRightInd w:val="0"/>
        <w:snapToGrid w:val="0"/>
        <w:spacing w:before="72" w:beforeLines="30" w:after="72" w:afterLines="30" w:line="288" w:lineRule="auto"/>
        <w:jc w:val="left"/>
        <w:rPr>
          <w:rFonts w:ascii="Arial" w:hAnsi="Arial"/>
          <w:b/>
          <w:lang w:val="en-US" w:eastAsia="zh-CN"/>
        </w:rPr>
      </w:pPr>
      <w:r>
        <w:rPr>
          <w:rFonts w:ascii="Arial" w:hAnsi="Arial" w:eastAsia="Times New Roman"/>
          <w:b/>
        </w:rPr>
        <w:t xml:space="preserve">Source: </w:t>
      </w:r>
      <w:r>
        <w:rPr>
          <w:rFonts w:hint="eastAsia" w:ascii="Arial" w:hAnsi="Arial"/>
          <w:b/>
          <w:lang w:val="en-US" w:eastAsia="zh-CN"/>
        </w:rPr>
        <w:t xml:space="preserve">             </w:t>
      </w:r>
      <w:r>
        <w:rPr>
          <w:rFonts w:ascii="Arial" w:hAnsi="Arial"/>
          <w:b/>
          <w:lang w:val="en-US" w:eastAsia="zh-CN"/>
        </w:rPr>
        <w:t xml:space="preserve">ZTE Corporation, </w:t>
      </w:r>
      <w:r>
        <w:rPr>
          <w:rFonts w:hint="eastAsia" w:ascii="Arial" w:hAnsi="Arial"/>
          <w:b/>
          <w:lang w:val="en-US" w:eastAsia="zh-CN"/>
        </w:rPr>
        <w:t>Sanechips</w:t>
      </w:r>
    </w:p>
    <w:p>
      <w:pPr>
        <w:tabs>
          <w:tab w:val="left" w:pos="1985"/>
        </w:tabs>
        <w:adjustRightInd w:val="0"/>
        <w:snapToGrid w:val="0"/>
        <w:spacing w:before="72" w:beforeLines="30" w:after="72" w:afterLines="30" w:line="288" w:lineRule="auto"/>
        <w:jc w:val="left"/>
        <w:rPr>
          <w:rFonts w:ascii="Arial" w:hAnsi="Arial"/>
          <w:b/>
          <w:lang w:val="en-US" w:eastAsia="zh-CN"/>
        </w:rPr>
      </w:pPr>
      <w:r>
        <w:rPr>
          <w:rFonts w:ascii="Arial" w:hAnsi="Arial" w:eastAsia="Times New Roman"/>
          <w:b/>
        </w:rPr>
        <w:t>Agenda item:</w:t>
      </w:r>
      <w:r>
        <w:rPr>
          <w:rFonts w:hint="eastAsia" w:ascii="Arial" w:hAnsi="Arial"/>
          <w:b/>
          <w:lang w:val="en-US" w:eastAsia="zh-CN"/>
        </w:rPr>
        <w:t xml:space="preserve">     8</w:t>
      </w:r>
      <w:r>
        <w:rPr>
          <w:rFonts w:ascii="Arial" w:hAnsi="Arial" w:eastAsia="Times New Roman"/>
          <w:b/>
        </w:rPr>
        <w:t>.1.</w:t>
      </w:r>
      <w:r>
        <w:rPr>
          <w:rFonts w:hint="eastAsia" w:ascii="Arial" w:hAnsi="Arial"/>
          <w:b/>
          <w:lang w:val="en-US" w:eastAsia="zh-CN"/>
        </w:rPr>
        <w:t>3</w:t>
      </w:r>
    </w:p>
    <w:p>
      <w:pPr>
        <w:adjustRightInd w:val="0"/>
        <w:snapToGrid w:val="0"/>
        <w:spacing w:before="72" w:beforeLines="30" w:after="72" w:afterLines="30" w:line="288" w:lineRule="auto"/>
        <w:ind w:left="1990" w:hanging="1990"/>
        <w:jc w:val="left"/>
      </w:pPr>
      <w:r>
        <w:rPr>
          <w:rFonts w:ascii="Arial" w:hAnsi="Arial" w:eastAsia="Times New Roman"/>
          <w:b/>
        </w:rPr>
        <w:t>Document for:</w:t>
      </w:r>
      <w:bookmarkStart w:id="1" w:name="DocumentFor"/>
      <w:bookmarkEnd w:id="1"/>
      <w:r>
        <w:rPr>
          <w:rFonts w:hint="eastAsia" w:ascii="Arial" w:hAnsi="Arial"/>
          <w:b/>
          <w:lang w:val="en-US" w:eastAsia="zh-CN"/>
        </w:rPr>
        <w:t xml:space="preserve">   </w:t>
      </w:r>
      <w:r>
        <w:rPr>
          <w:rFonts w:ascii="Arial" w:hAnsi="Arial" w:eastAsia="Times New Roman"/>
          <w:b/>
        </w:rPr>
        <w:t>Discussion/Decision</w:t>
      </w:r>
      <w:bookmarkEnd w:id="0"/>
    </w:p>
    <w:p>
      <w:pPr>
        <w:pStyle w:val="2"/>
      </w:pPr>
      <w:bookmarkStart w:id="2" w:name="_Ref4817"/>
      <w:r>
        <w:t>Introduction</w:t>
      </w:r>
      <w:bookmarkEnd w:id="2"/>
    </w:p>
    <w:p>
      <w:pPr>
        <w:snapToGrid w:val="0"/>
        <w:spacing w:before="72" w:beforeLines="30" w:after="72" w:afterLines="30" w:line="288" w:lineRule="auto"/>
        <w:rPr>
          <w:rFonts w:eastAsia="Times New Roman"/>
          <w:lang w:val="en-US" w:eastAsia="zh-CN"/>
        </w:rPr>
      </w:pPr>
      <w:r>
        <w:rPr>
          <w:rFonts w:hint="eastAsia" w:eastAsia="Times New Roman"/>
          <w:lang w:val="en-US" w:eastAsia="zh-CN"/>
        </w:rPr>
        <w:t>In this contribution, we provide our views on the maintenance of AI CSI prediction regarding monitoring report issues. In RAN</w:t>
      </w:r>
      <w:r>
        <w:rPr>
          <w:rFonts w:eastAsia="Times New Roman"/>
          <w:lang w:val="en-US" w:eastAsia="zh-CN"/>
        </w:rPr>
        <w:t>1</w:t>
      </w:r>
      <w:r>
        <w:rPr>
          <w:rFonts w:hint="eastAsia" w:eastAsia="Times New Roman"/>
          <w:lang w:val="en-US" w:eastAsia="zh-CN"/>
        </w:rPr>
        <w:t>#1</w:t>
      </w:r>
      <w:r>
        <w:rPr>
          <w:rFonts w:eastAsia="Times New Roman"/>
          <w:lang w:val="en-US" w:eastAsia="zh-CN"/>
        </w:rPr>
        <w:t>2</w:t>
      </w:r>
      <w:r>
        <w:rPr>
          <w:rFonts w:hint="eastAsia" w:eastAsia="Times New Roman"/>
          <w:lang w:val="en-US" w:eastAsia="zh-CN"/>
        </w:rPr>
        <w:t xml:space="preserve">1 meeting, </w:t>
      </w:r>
      <w:r>
        <w:rPr>
          <w:rFonts w:eastAsia="Times New Roman"/>
          <w:lang w:val="en-US" w:eastAsia="zh-CN"/>
        </w:rPr>
        <w:t xml:space="preserve">the following conclusions and agreements </w:t>
      </w:r>
      <w:r>
        <w:rPr>
          <w:rFonts w:hint="eastAsia" w:eastAsia="Times New Roman"/>
          <w:lang w:val="en-US" w:eastAsia="zh-CN"/>
        </w:rPr>
        <w:t>[1]</w:t>
      </w:r>
      <w:r>
        <w:rPr>
          <w:rFonts w:eastAsia="Times New Roman"/>
          <w:lang w:val="en-US" w:eastAsia="zh-CN"/>
        </w:rPr>
        <w:t xml:space="preserve"> were </w:t>
      </w:r>
      <w:r>
        <w:rPr>
          <w:rFonts w:hint="eastAsia" w:eastAsia="Times New Roman"/>
          <w:lang w:val="en-US" w:eastAsia="zh-CN"/>
        </w:rPr>
        <w:t>ach</w:t>
      </w:r>
      <w:r>
        <w:rPr>
          <w:rFonts w:eastAsia="Times New Roman"/>
          <w:lang w:val="en-US" w:eastAsia="zh-CN"/>
        </w:rPr>
        <w:t xml:space="preserve">ieved for </w:t>
      </w:r>
      <w:r>
        <w:rPr>
          <w:rFonts w:hint="eastAsia" w:eastAsia="Times New Roman"/>
          <w:lang w:val="en-US" w:eastAsia="zh-CN"/>
        </w:rPr>
        <w:t>Artificial Intelligence (AI)/Machine Learning (ML) CSI prediction</w:t>
      </w:r>
      <w:r>
        <w:rPr>
          <w:rFonts w:eastAsia="Times New Roman"/>
          <w:lang w:val="en-US" w:eastAsia="zh-CN"/>
        </w:rPr>
        <w:t>:</w:t>
      </w:r>
    </w:p>
    <w:tbl>
      <w:tblPr>
        <w:tblStyle w:val="51"/>
        <w:tblpPr w:leftFromText="180" w:rightFromText="180" w:vertAnchor="text" w:tblpY="1"/>
        <w:tblOverlap w:val="never"/>
        <w:tblW w:w="48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pacing w:before="0" w:after="0" w:line="280" w:lineRule="atLeast"/>
              <w:rPr>
                <w:rFonts w:eastAsia="等线"/>
                <w:highlight w:val="green"/>
                <w:lang w:eastAsia="zh-CN"/>
              </w:rPr>
            </w:pPr>
            <w:r>
              <w:rPr>
                <w:rFonts w:hint="eastAsia" w:eastAsia="等线"/>
                <w:highlight w:val="green"/>
                <w:lang w:eastAsia="zh-CN"/>
              </w:rPr>
              <w:t>Agreement</w:t>
            </w:r>
          </w:p>
          <w:p>
            <w:pPr>
              <w:spacing w:before="0" w:after="0" w:line="280" w:lineRule="atLeast"/>
              <w:rPr>
                <w:lang w:eastAsia="ko-KR"/>
              </w:rPr>
            </w:pPr>
            <w:r>
              <w:rPr>
                <w:lang w:eastAsia="ko-KR"/>
              </w:rPr>
              <w:t xml:space="preserve">For CSI prediction using UE-side model, for data collection for training, </w:t>
            </w:r>
            <w:r>
              <w:rPr>
                <w:i/>
                <w:lang w:val="en-US" w:eastAsia="ko-KR"/>
              </w:rPr>
              <w:t>reportQuantity</w:t>
            </w:r>
            <w:r>
              <w:rPr>
                <w:lang w:val="en-US" w:eastAsia="ko-KR"/>
              </w:rPr>
              <w:t xml:space="preserve"> is set to ‘none-CSI-r19’</w:t>
            </w:r>
            <w:r>
              <w:rPr>
                <w:lang w:eastAsia="ko-KR"/>
              </w:rPr>
              <w:t>.</w:t>
            </w:r>
          </w:p>
          <w:p>
            <w:pPr>
              <w:spacing w:before="0" w:after="0" w:line="280" w:lineRule="atLeast"/>
              <w:rPr>
                <w:lang w:eastAsia="ko-KR"/>
              </w:rPr>
            </w:pPr>
          </w:p>
          <w:p>
            <w:pPr>
              <w:spacing w:before="0" w:after="0" w:line="280" w:lineRule="atLeast"/>
              <w:rPr>
                <w:rFonts w:eastAsia="等线"/>
                <w:highlight w:val="green"/>
                <w:lang w:eastAsia="zh-CN"/>
              </w:rPr>
            </w:pPr>
            <w:r>
              <w:rPr>
                <w:rFonts w:hint="eastAsia" w:eastAsia="等线"/>
                <w:highlight w:val="green"/>
                <w:lang w:eastAsia="zh-CN"/>
              </w:rPr>
              <w:t>Agreement</w:t>
            </w:r>
          </w:p>
          <w:p>
            <w:pPr>
              <w:spacing w:before="0" w:after="0" w:line="280" w:lineRule="atLeast"/>
              <w:rPr>
                <w:rFonts w:eastAsia="等线"/>
                <w:lang w:eastAsia="ko-KR"/>
              </w:rPr>
            </w:pPr>
            <w:r>
              <w:rPr>
                <w:lang w:eastAsia="ko-KR"/>
              </w:rPr>
              <w:t xml:space="preserve">For CSI prediction using UE-side model, </w:t>
            </w:r>
            <w:r>
              <w:rPr>
                <w:rFonts w:eastAsia="等线"/>
                <w:lang w:eastAsia="ko-KR"/>
              </w:rPr>
              <w:t>to calculate the inference report using Doppler codebook,</w:t>
            </w:r>
          </w:p>
          <w:p>
            <w:pPr>
              <w:pStyle w:val="65"/>
              <w:numPr>
                <w:ilvl w:val="0"/>
                <w:numId w:val="20"/>
              </w:numPr>
              <w:spacing w:before="0" w:after="0" w:line="280" w:lineRule="atLeast"/>
              <w:rPr>
                <w:rFonts w:eastAsia="等线"/>
                <w:lang w:eastAsia="ko-KR"/>
              </w:rPr>
            </w:pPr>
            <w:r>
              <w:rPr>
                <w:rFonts w:eastAsia="等线"/>
                <w:lang w:eastAsia="ko-KR"/>
              </w:rPr>
              <w:t xml:space="preserve">For PU occupancy, support </w:t>
            </w:r>
          </w:p>
          <w:p>
            <w:pPr>
              <w:pStyle w:val="65"/>
              <w:numPr>
                <w:ilvl w:val="1"/>
                <w:numId w:val="20"/>
              </w:numPr>
              <w:spacing w:before="0" w:after="0" w:line="280" w:lineRule="atLeast"/>
              <w:rPr>
                <w:lang w:eastAsia="ko-KR"/>
              </w:rPr>
            </w:pPr>
            <w:r>
              <w:rPr>
                <w:rFonts w:hint="eastAsia" w:eastAsia="等线"/>
              </w:rPr>
              <w:t>D</w:t>
            </w:r>
            <w:r>
              <w:rPr>
                <w:rFonts w:eastAsia="等线"/>
                <w:lang w:eastAsia="ko-KR"/>
              </w:rPr>
              <w:t>edicated AI/ML PU (O</w:t>
            </w:r>
            <w:r>
              <w:rPr>
                <w:rFonts w:eastAsia="等线"/>
                <w:vertAlign w:val="subscript"/>
                <w:lang w:eastAsia="ko-KR"/>
              </w:rPr>
              <w:t>APU</w:t>
            </w:r>
            <w:r>
              <w:rPr>
                <w:rFonts w:eastAsia="等线"/>
                <w:lang w:eastAsia="ko-KR"/>
              </w:rPr>
              <w:t xml:space="preserve">) </w:t>
            </w:r>
            <w:r>
              <w:rPr>
                <w:rFonts w:hint="eastAsia" w:eastAsia="等线"/>
              </w:rPr>
              <w:t>and/or</w:t>
            </w:r>
            <w:r>
              <w:rPr>
                <w:rFonts w:eastAsia="等线"/>
                <w:lang w:eastAsia="ko-KR"/>
              </w:rPr>
              <w:t xml:space="preserve"> legacy CPU (O</w:t>
            </w:r>
            <w:r>
              <w:rPr>
                <w:rFonts w:eastAsia="等线"/>
                <w:vertAlign w:val="subscript"/>
                <w:lang w:eastAsia="ko-KR"/>
              </w:rPr>
              <w:t>CPU</w:t>
            </w:r>
            <w:r>
              <w:rPr>
                <w:rFonts w:eastAsia="等线"/>
                <w:lang w:eastAsia="ko-KR"/>
              </w:rPr>
              <w:t xml:space="preserve">) are occupied, </w:t>
            </w:r>
          </w:p>
          <w:p>
            <w:pPr>
              <w:pStyle w:val="65"/>
              <w:numPr>
                <w:ilvl w:val="2"/>
                <w:numId w:val="20"/>
              </w:numPr>
              <w:spacing w:before="0" w:after="0" w:line="280" w:lineRule="atLeast"/>
              <w:rPr>
                <w:lang w:eastAsia="ko-KR"/>
              </w:rPr>
            </w:pPr>
            <w:r>
              <w:rPr>
                <w:rFonts w:eastAsia="等线"/>
                <w:lang w:eastAsia="ko-KR"/>
              </w:rPr>
              <w:t>O</w:t>
            </w:r>
            <w:r>
              <w:rPr>
                <w:rFonts w:eastAsia="等线"/>
                <w:vertAlign w:val="subscript"/>
                <w:lang w:eastAsia="ko-KR"/>
              </w:rPr>
              <w:t>APU</w:t>
            </w:r>
            <w:r>
              <w:rPr>
                <w:rFonts w:eastAsia="等线"/>
                <w:lang w:eastAsia="ko-KR"/>
              </w:rPr>
              <w:t>= 0 or N is reported by UE</w:t>
            </w:r>
          </w:p>
          <w:p>
            <w:pPr>
              <w:pStyle w:val="65"/>
              <w:numPr>
                <w:ilvl w:val="2"/>
                <w:numId w:val="20"/>
              </w:numPr>
              <w:spacing w:before="0" w:after="0" w:line="280" w:lineRule="atLeast"/>
              <w:rPr>
                <w:lang w:eastAsia="ko-KR"/>
              </w:rPr>
            </w:pPr>
            <w:r>
              <w:rPr>
                <w:rFonts w:eastAsia="等线"/>
                <w:lang w:eastAsia="ko-KR"/>
              </w:rPr>
              <w:t>O</w:t>
            </w:r>
            <w:r>
              <w:rPr>
                <w:rFonts w:eastAsia="等线"/>
                <w:vertAlign w:val="subscript"/>
                <w:lang w:eastAsia="ko-KR"/>
              </w:rPr>
              <w:t>CPU</w:t>
            </w:r>
            <w:r>
              <w:rPr>
                <w:rFonts w:eastAsia="等线"/>
                <w:lang w:eastAsia="ko-KR"/>
              </w:rPr>
              <w:t>=0 or M is reported by UE</w:t>
            </w:r>
          </w:p>
          <w:p>
            <w:pPr>
              <w:pStyle w:val="65"/>
              <w:numPr>
                <w:ilvl w:val="2"/>
                <w:numId w:val="20"/>
              </w:numPr>
              <w:spacing w:before="0" w:after="0" w:line="280" w:lineRule="atLeast"/>
              <w:rPr>
                <w:lang w:eastAsia="ko-KR"/>
              </w:rPr>
            </w:pPr>
            <w:r>
              <w:rPr>
                <w:lang w:eastAsia="ko-KR"/>
              </w:rPr>
              <w:t>Note: Detailed values of N and M can be further discussed in UE feature.</w:t>
            </w:r>
          </w:p>
          <w:p>
            <w:pPr>
              <w:pStyle w:val="65"/>
              <w:numPr>
                <w:ilvl w:val="2"/>
                <w:numId w:val="20"/>
              </w:numPr>
              <w:spacing w:before="0" w:after="0" w:line="280" w:lineRule="atLeast"/>
              <w:rPr>
                <w:lang w:eastAsia="ko-KR"/>
              </w:rPr>
            </w:pPr>
            <w:r>
              <w:rPr>
                <w:lang w:eastAsia="ko-KR"/>
              </w:rPr>
              <w:t xml:space="preserve">Note: </w:t>
            </w:r>
            <w:r>
              <w:rPr>
                <w:rFonts w:hint="eastAsia" w:eastAsia="等线"/>
              </w:rPr>
              <w:t xml:space="preserve">Combination of </w:t>
            </w:r>
            <w:r>
              <w:rPr>
                <w:rFonts w:eastAsia="等线"/>
                <w:lang w:eastAsia="ko-KR"/>
              </w:rPr>
              <w:t>O</w:t>
            </w:r>
            <w:r>
              <w:rPr>
                <w:rFonts w:eastAsia="等线"/>
                <w:vertAlign w:val="subscript"/>
                <w:lang w:eastAsia="ko-KR"/>
              </w:rPr>
              <w:t>APU</w:t>
            </w:r>
            <w:r>
              <w:rPr>
                <w:rFonts w:eastAsia="等线"/>
                <w:lang w:eastAsia="ko-KR"/>
              </w:rPr>
              <w:t>= 0 and O</w:t>
            </w:r>
            <w:r>
              <w:rPr>
                <w:rFonts w:eastAsia="等线"/>
                <w:vertAlign w:val="subscript"/>
                <w:lang w:eastAsia="ko-KR"/>
              </w:rPr>
              <w:t>CPU</w:t>
            </w:r>
            <w:r>
              <w:rPr>
                <w:rFonts w:eastAsia="等线"/>
                <w:lang w:eastAsia="ko-KR"/>
              </w:rPr>
              <w:t>=0 is not allowed</w:t>
            </w:r>
          </w:p>
          <w:p>
            <w:pPr>
              <w:pStyle w:val="65"/>
              <w:numPr>
                <w:ilvl w:val="2"/>
                <w:numId w:val="20"/>
              </w:numPr>
              <w:spacing w:before="0" w:after="0" w:line="280" w:lineRule="atLeast"/>
              <w:rPr>
                <w:lang w:eastAsia="ko-KR"/>
              </w:rPr>
            </w:pPr>
            <w:r>
              <w:rPr>
                <w:lang w:eastAsia="ko-KR"/>
              </w:rPr>
              <w:t xml:space="preserve">Note: if any of the unoccupied PU cannot satisfy the corresponding required PU by the CSI report, the CSI report </w:t>
            </w:r>
            <w:r>
              <w:rPr>
                <w:rFonts w:hint="eastAsia"/>
                <w:lang w:eastAsia="ko-KR"/>
              </w:rPr>
              <w:t xml:space="preserve">will follow the legacy </w:t>
            </w:r>
            <w:r>
              <w:rPr>
                <w:lang w:eastAsia="ko-KR"/>
              </w:rPr>
              <w:t>behaviour</w:t>
            </w:r>
            <w:r>
              <w:rPr>
                <w:rFonts w:hint="eastAsia"/>
                <w:lang w:eastAsia="ko-KR"/>
              </w:rPr>
              <w:t xml:space="preserve"> of </w:t>
            </w:r>
            <w:r>
              <w:rPr>
                <w:rFonts w:hint="eastAsia" w:eastAsia="等线"/>
              </w:rPr>
              <w:t xml:space="preserve">exceeding the </w:t>
            </w:r>
            <w:r>
              <w:rPr>
                <w:rFonts w:hint="eastAsia"/>
                <w:lang w:eastAsia="ko-KR"/>
              </w:rPr>
              <w:t xml:space="preserve">CPU </w:t>
            </w:r>
            <w:r>
              <w:rPr>
                <w:rFonts w:hint="eastAsia" w:eastAsia="等线"/>
              </w:rPr>
              <w:t>limit</w:t>
            </w:r>
            <w:r>
              <w:rPr>
                <w:rFonts w:hint="eastAsia"/>
                <w:lang w:eastAsia="ko-KR"/>
              </w:rPr>
              <w:t>, neither of the P</w:t>
            </w:r>
            <w:r>
              <w:rPr>
                <w:rFonts w:hint="eastAsia" w:eastAsia="等线"/>
              </w:rPr>
              <w:t>U</w:t>
            </w:r>
            <w:r>
              <w:rPr>
                <w:rFonts w:hint="eastAsia"/>
                <w:lang w:eastAsia="ko-KR"/>
              </w:rPr>
              <w:t>s are occupied</w:t>
            </w:r>
          </w:p>
          <w:p>
            <w:pPr>
              <w:pStyle w:val="65"/>
              <w:numPr>
                <w:ilvl w:val="0"/>
                <w:numId w:val="20"/>
              </w:numPr>
              <w:spacing w:before="0" w:after="0" w:line="280" w:lineRule="atLeast"/>
              <w:rPr>
                <w:lang w:eastAsia="ko-KR"/>
              </w:rPr>
            </w:pPr>
            <w:r>
              <w:rPr>
                <w:lang w:eastAsia="ko-KR"/>
              </w:rPr>
              <w:t xml:space="preserve">For occupancy duration of CPU and APU, </w:t>
            </w:r>
          </w:p>
          <w:p>
            <w:pPr>
              <w:pStyle w:val="65"/>
              <w:numPr>
                <w:ilvl w:val="1"/>
                <w:numId w:val="20"/>
              </w:numPr>
              <w:spacing w:before="0" w:after="0" w:line="280" w:lineRule="atLeast"/>
              <w:rPr>
                <w:lang w:eastAsia="ko-KR"/>
              </w:rPr>
            </w:pPr>
            <w:r>
              <w:rPr>
                <w:lang w:eastAsia="ko-KR"/>
              </w:rPr>
              <w:t xml:space="preserve">the same occupancy duration is used if both CPU and APU are reported non-zero value </w:t>
            </w:r>
          </w:p>
          <w:p>
            <w:pPr>
              <w:pStyle w:val="65"/>
              <w:numPr>
                <w:ilvl w:val="1"/>
                <w:numId w:val="20"/>
              </w:numPr>
              <w:spacing w:before="0" w:after="0" w:line="280" w:lineRule="atLeast"/>
              <w:rPr>
                <w:lang w:eastAsia="ko-KR"/>
              </w:rPr>
            </w:pPr>
            <w:r>
              <w:rPr>
                <w:lang w:eastAsia="ko-KR"/>
              </w:rPr>
              <w:t xml:space="preserve">if </w:t>
            </w:r>
            <w:r>
              <w:rPr>
                <w:rFonts w:hint="eastAsia" w:eastAsia="等线"/>
              </w:rPr>
              <w:t xml:space="preserve">associated </w:t>
            </w:r>
            <w:r>
              <w:rPr>
                <w:lang w:eastAsia="ko-KR"/>
              </w:rPr>
              <w:t>monitoring report is not configured</w:t>
            </w:r>
            <w:r>
              <w:rPr>
                <w:rFonts w:hint="eastAsia" w:eastAsia="等线"/>
              </w:rPr>
              <w:t>,</w:t>
            </w:r>
            <w:r>
              <w:rPr>
                <w:lang w:eastAsia="ko-KR"/>
              </w:rPr>
              <w:t xml:space="preserve"> reuse following legacy occupancy duration</w:t>
            </w:r>
          </w:p>
          <w:p>
            <w:pPr>
              <w:pStyle w:val="65"/>
              <w:numPr>
                <w:ilvl w:val="2"/>
                <w:numId w:val="20"/>
              </w:numPr>
              <w:spacing w:before="0" w:after="0" w:line="280" w:lineRule="atLeast"/>
              <w:rPr>
                <w:lang w:eastAsia="ko-KR"/>
              </w:rPr>
            </w:pPr>
            <w:r>
              <w:rPr>
                <w:lang w:eastAsia="ko-KR"/>
              </w:rPr>
              <w:t>For semi-persistent CSI report on PUSCH with P/SP CSIRS CMR, occupation starts from the first symbol of K</w:t>
            </w:r>
            <w:r>
              <w:rPr>
                <w:vertAlign w:val="subscript"/>
                <w:lang w:eastAsia="ko-KR"/>
              </w:rPr>
              <w:t>P</w:t>
            </w:r>
            <w:r>
              <w:rPr>
                <w:lang w:eastAsia="ko-KR"/>
              </w:rPr>
              <w:t>-th latest consecutive P/SP-CSI-RS occasions no later than CSI reference resource, until the last symbol of the PUSCH carrying the report, where K</w:t>
            </w:r>
            <w:r>
              <w:rPr>
                <w:vertAlign w:val="subscript"/>
                <w:lang w:eastAsia="ko-KR"/>
              </w:rPr>
              <w:t>P</w:t>
            </w:r>
            <w:r>
              <w:rPr>
                <w:rFonts w:hint="eastAsia" w:eastAsia="等线"/>
                <w:vertAlign w:val="subscript"/>
              </w:rPr>
              <w:t xml:space="preserve"> </w:t>
            </w:r>
            <w:r>
              <w:rPr>
                <w:lang w:eastAsia="ko-KR"/>
              </w:rPr>
              <w:t>is indicated by UE capability.</w:t>
            </w:r>
          </w:p>
          <w:p>
            <w:pPr>
              <w:pStyle w:val="65"/>
              <w:numPr>
                <w:ilvl w:val="3"/>
                <w:numId w:val="20"/>
              </w:numPr>
              <w:spacing w:before="0" w:after="0" w:line="280" w:lineRule="atLeast"/>
              <w:rPr>
                <w:lang w:eastAsia="ko-KR"/>
              </w:rPr>
            </w:pPr>
            <w:r>
              <w:rPr>
                <w:lang w:eastAsia="ko-KR"/>
              </w:rPr>
              <w:t>Note: Detailed values of K</w:t>
            </w:r>
            <w:r>
              <w:rPr>
                <w:vertAlign w:val="subscript"/>
                <w:lang w:eastAsia="ko-KR"/>
              </w:rPr>
              <w:t>P</w:t>
            </w:r>
            <w:r>
              <w:rPr>
                <w:lang w:eastAsia="ko-KR"/>
              </w:rPr>
              <w:t xml:space="preserve"> can be further discussed in UE feature.</w:t>
            </w:r>
          </w:p>
          <w:p>
            <w:pPr>
              <w:pStyle w:val="65"/>
              <w:numPr>
                <w:ilvl w:val="2"/>
                <w:numId w:val="20"/>
              </w:numPr>
              <w:spacing w:before="0" w:after="0" w:line="280" w:lineRule="atLeast"/>
              <w:rPr>
                <w:lang w:eastAsia="ko-KR"/>
              </w:rPr>
            </w:pPr>
            <w:r>
              <w:rPr>
                <w:lang w:eastAsia="ko-KR"/>
              </w:rPr>
              <w:t>Aperiodic CSI report occupies PU(s) from the first symbol after the PDCCH triggering the CSI report until the last symbol of the scheduled PUSCH carrying the report.</w:t>
            </w:r>
          </w:p>
          <w:p>
            <w:pPr>
              <w:pStyle w:val="65"/>
              <w:numPr>
                <w:ilvl w:val="0"/>
                <w:numId w:val="20"/>
              </w:numPr>
              <w:spacing w:before="0" w:after="0" w:line="280" w:lineRule="atLeast"/>
              <w:rPr>
                <w:lang w:eastAsia="ko-KR"/>
              </w:rPr>
            </w:pPr>
            <w:r>
              <w:rPr>
                <w:lang w:eastAsia="ko-KR"/>
              </w:rPr>
              <w:t>The total number of dedicated AI/ML PU for AI/ML is reported by UE capability</w:t>
            </w:r>
          </w:p>
          <w:p>
            <w:pPr>
              <w:spacing w:before="0" w:after="0" w:line="280" w:lineRule="atLeast"/>
              <w:rPr>
                <w:lang w:val="en-US" w:eastAsia="zh-CN"/>
              </w:rPr>
            </w:pPr>
          </w:p>
          <w:p>
            <w:pPr>
              <w:spacing w:before="0" w:after="0" w:line="280" w:lineRule="atLeast"/>
              <w:rPr>
                <w:rFonts w:eastAsia="等线"/>
                <w:highlight w:val="green"/>
                <w:lang w:eastAsia="zh-CN"/>
              </w:rPr>
            </w:pPr>
            <w:r>
              <w:rPr>
                <w:rFonts w:hint="eastAsia" w:eastAsia="等线"/>
                <w:highlight w:val="green"/>
                <w:lang w:eastAsia="zh-CN"/>
              </w:rPr>
              <w:t>Agreement</w:t>
            </w:r>
          </w:p>
          <w:p>
            <w:pPr>
              <w:spacing w:before="0" w:after="0" w:line="280" w:lineRule="atLeast"/>
              <w:rPr>
                <w:rFonts w:eastAsia="等线"/>
                <w:lang w:eastAsia="ko-KR"/>
              </w:rPr>
            </w:pPr>
            <w:r>
              <w:rPr>
                <w:lang w:eastAsia="ko-KR"/>
              </w:rPr>
              <w:t>For CSI prediction using UE-side model, for inference, regarding active resource/port counting,</w:t>
            </w:r>
          </w:p>
          <w:p>
            <w:pPr>
              <w:pStyle w:val="65"/>
              <w:numPr>
                <w:ilvl w:val="0"/>
                <w:numId w:val="21"/>
              </w:numPr>
              <w:spacing w:before="0" w:after="0" w:line="280" w:lineRule="atLeast"/>
              <w:rPr>
                <w:lang w:eastAsia="ko-KR"/>
              </w:rPr>
            </w:pPr>
            <w:r>
              <w:rPr>
                <w:lang w:eastAsia="ko-KR"/>
              </w:rPr>
              <w:t xml:space="preserve">Reuse legacy active resource/port counting at least if </w:t>
            </w:r>
            <w:r>
              <w:rPr>
                <w:rFonts w:hint="eastAsia" w:eastAsia="等线"/>
              </w:rPr>
              <w:t xml:space="preserve">associated </w:t>
            </w:r>
            <w:r>
              <w:rPr>
                <w:lang w:eastAsia="ko-KR"/>
              </w:rPr>
              <w:t>monitoring report is not configured</w:t>
            </w:r>
          </w:p>
          <w:p>
            <w:pPr>
              <w:spacing w:before="0" w:after="0" w:line="280" w:lineRule="atLeast"/>
              <w:rPr>
                <w:lang w:val="en-US" w:eastAsia="zh-CN"/>
              </w:rPr>
            </w:pPr>
          </w:p>
          <w:p>
            <w:pPr>
              <w:spacing w:before="0" w:after="0" w:line="280" w:lineRule="atLeast"/>
              <w:rPr>
                <w:rFonts w:eastAsia="等线"/>
                <w:highlight w:val="green"/>
                <w:lang w:eastAsia="zh-CN"/>
              </w:rPr>
            </w:pPr>
            <w:r>
              <w:rPr>
                <w:rFonts w:hint="eastAsia" w:eastAsia="等线"/>
                <w:highlight w:val="green"/>
                <w:lang w:eastAsia="zh-CN"/>
              </w:rPr>
              <w:t>Agreement</w:t>
            </w:r>
          </w:p>
          <w:p>
            <w:pPr>
              <w:pStyle w:val="65"/>
              <w:spacing w:before="0" w:after="0" w:line="280" w:lineRule="atLeast"/>
              <w:ind w:left="0"/>
              <w:rPr>
                <w:lang w:eastAsia="ko-KR"/>
              </w:rPr>
            </w:pPr>
            <w:r>
              <w:rPr>
                <w:lang w:eastAsia="ko-KR"/>
              </w:rPr>
              <w:t xml:space="preserve">For CSI prediction using UE-side model, </w:t>
            </w:r>
            <w:r>
              <w:rPr>
                <w:rFonts w:hint="eastAsia" w:eastAsia="等线"/>
              </w:rPr>
              <w:t xml:space="preserve">for inference, in </w:t>
            </w:r>
            <w:r>
              <w:rPr>
                <w:rFonts w:eastAsia="等线"/>
              </w:rPr>
              <w:t>addition</w:t>
            </w:r>
            <w:r>
              <w:rPr>
                <w:rFonts w:hint="eastAsia" w:eastAsia="等线"/>
              </w:rPr>
              <w:t xml:space="preserve"> to </w:t>
            </w:r>
            <w:r>
              <w:rPr>
                <w:rFonts w:eastAsia="等线"/>
              </w:rPr>
              <w:t>legacy</w:t>
            </w:r>
            <w:r>
              <w:rPr>
                <w:rFonts w:hint="eastAsia" w:eastAsia="等线"/>
              </w:rPr>
              <w:t xml:space="preserve"> </w:t>
            </w:r>
            <w:r>
              <w:t>Z/Z’</w:t>
            </w:r>
            <w:r>
              <w:rPr>
                <w:rFonts w:hint="eastAsia" w:eastAsia="等线"/>
              </w:rPr>
              <w:t xml:space="preserve"> for doppler codebook, </w:t>
            </w:r>
            <w:r>
              <w:rPr>
                <w:lang w:eastAsia="ko-KR"/>
              </w:rPr>
              <w:t xml:space="preserve">UE may report the value of t </w:t>
            </w:r>
            <w:r>
              <w:rPr>
                <w:rFonts w:eastAsia="等线"/>
              </w:rPr>
              <w:t>per SCS</w:t>
            </w:r>
          </w:p>
          <w:p>
            <w:pPr>
              <w:pStyle w:val="65"/>
              <w:numPr>
                <w:ilvl w:val="0"/>
                <w:numId w:val="21"/>
              </w:numPr>
              <w:spacing w:before="0" w:after="0" w:line="280" w:lineRule="atLeast"/>
              <w:rPr>
                <w:lang w:eastAsia="ko-KR"/>
              </w:rPr>
            </w:pPr>
            <w:r>
              <w:rPr>
                <w:lang w:eastAsia="ko-KR"/>
              </w:rPr>
              <w:t xml:space="preserve">Detailed value of t can be discussed in UE feature </w:t>
            </w:r>
          </w:p>
          <w:p>
            <w:pPr>
              <w:spacing w:before="0" w:after="0" w:line="280" w:lineRule="atLeast"/>
              <w:rPr>
                <w:lang w:val="en-US" w:eastAsia="zh-CN"/>
              </w:rPr>
            </w:pPr>
          </w:p>
          <w:p>
            <w:pPr>
              <w:spacing w:before="0" w:after="0" w:line="280" w:lineRule="atLeast"/>
              <w:rPr>
                <w:rFonts w:eastAsia="等线"/>
                <w:highlight w:val="green"/>
                <w:lang w:eastAsia="zh-CN"/>
              </w:rPr>
            </w:pPr>
            <w:r>
              <w:rPr>
                <w:rFonts w:hint="eastAsia" w:eastAsia="等线"/>
                <w:highlight w:val="green"/>
                <w:lang w:eastAsia="zh-CN"/>
              </w:rPr>
              <w:t>Agreement</w:t>
            </w:r>
          </w:p>
          <w:p>
            <w:pPr>
              <w:spacing w:before="0" w:after="0" w:line="280" w:lineRule="atLeast"/>
            </w:pPr>
            <w:r>
              <w:rPr>
                <w:lang w:eastAsia="ko-KR"/>
              </w:rPr>
              <w:t xml:space="preserve">For CSI prediction using UE-side model, </w:t>
            </w:r>
            <w:r>
              <w:t xml:space="preserve">for UE assisted performance monitoring, </w:t>
            </w:r>
          </w:p>
          <w:p>
            <w:pPr>
              <w:pStyle w:val="65"/>
              <w:numPr>
                <w:ilvl w:val="0"/>
                <w:numId w:val="21"/>
              </w:numPr>
              <w:spacing w:before="0" w:after="0" w:line="280" w:lineRule="atLeast"/>
            </w:pPr>
            <w:r>
              <w:t>Support to reuse CSI framework for the configuration for monitoring result report in L1 signaling</w:t>
            </w:r>
          </w:p>
          <w:p>
            <w:pPr>
              <w:pStyle w:val="65"/>
              <w:numPr>
                <w:ilvl w:val="1"/>
                <w:numId w:val="21"/>
              </w:numPr>
              <w:tabs>
                <w:tab w:val="left" w:pos="720"/>
              </w:tabs>
              <w:spacing w:before="0" w:after="0" w:line="276" w:lineRule="auto"/>
              <w:rPr>
                <w:rFonts w:cs="Times"/>
                <w:kern w:val="2"/>
              </w:rPr>
            </w:pPr>
            <w:r>
              <w:rPr>
                <w:rFonts w:cs="Times"/>
                <w:kern w:val="2"/>
              </w:rPr>
              <w:t>Dedicated resource set for monitoring and report configuration for monitoring are configured in a dedicated CSI report configuration used for monitoring</w:t>
            </w:r>
          </w:p>
          <w:p>
            <w:pPr>
              <w:pStyle w:val="65"/>
              <w:numPr>
                <w:ilvl w:val="2"/>
                <w:numId w:val="21"/>
              </w:numPr>
              <w:spacing w:before="0" w:after="0" w:line="280" w:lineRule="atLeast"/>
              <w:rPr>
                <w:rFonts w:eastAsia="等线"/>
                <w:lang w:eastAsia="ko-KR"/>
              </w:rPr>
            </w:pPr>
            <w:r>
              <w:rPr>
                <w:rFonts w:eastAsia="等线"/>
                <w:lang w:eastAsia="ko-KR"/>
              </w:rPr>
              <w:t xml:space="preserve">The ID of an inference report configuration is configured in the configuration for monitoring to link the inference report configuration and monitoring report configuration </w:t>
            </w:r>
          </w:p>
          <w:p>
            <w:pPr>
              <w:pStyle w:val="65"/>
              <w:numPr>
                <w:ilvl w:val="2"/>
                <w:numId w:val="21"/>
              </w:numPr>
              <w:spacing w:before="0" w:after="0" w:line="280" w:lineRule="atLeast"/>
              <w:rPr>
                <w:rFonts w:eastAsia="等线"/>
                <w:lang w:eastAsia="ko-KR"/>
              </w:rPr>
            </w:pPr>
            <w:r>
              <w:rPr>
                <w:rFonts w:eastAsia="等线"/>
                <w:lang w:eastAsia="ko-KR"/>
              </w:rPr>
              <w:t>For monitoring report type, semi-persistent and aperiodic are supported</w:t>
            </w:r>
          </w:p>
          <w:p>
            <w:pPr>
              <w:pStyle w:val="65"/>
              <w:numPr>
                <w:ilvl w:val="2"/>
                <w:numId w:val="21"/>
              </w:numPr>
              <w:spacing w:before="0" w:after="0" w:line="280" w:lineRule="atLeast"/>
              <w:rPr>
                <w:rFonts w:eastAsia="等线"/>
                <w:lang w:eastAsia="ko-KR"/>
              </w:rPr>
            </w:pPr>
            <w:r>
              <w:rPr>
                <w:rFonts w:eastAsia="等线"/>
                <w:lang w:eastAsia="ko-KR"/>
              </w:rPr>
              <w:t>The following combination for inference report type and monitoring report type are supported</w:t>
            </w:r>
          </w:p>
          <w:tbl>
            <w:tblPr>
              <w:tblStyle w:val="50"/>
              <w:tblW w:w="5714" w:type="dxa"/>
              <w:jc w:val="center"/>
              <w:tblLayout w:type="autofit"/>
              <w:tblCellMar>
                <w:top w:w="0" w:type="dxa"/>
                <w:left w:w="108" w:type="dxa"/>
                <w:bottom w:w="0" w:type="dxa"/>
                <w:right w:w="108" w:type="dxa"/>
              </w:tblCellMar>
            </w:tblPr>
            <w:tblGrid>
              <w:gridCol w:w="3257"/>
              <w:gridCol w:w="1228"/>
              <w:gridCol w:w="1229"/>
            </w:tblGrid>
            <w:tr>
              <w:tblPrEx>
                <w:tblCellMar>
                  <w:top w:w="0" w:type="dxa"/>
                  <w:left w:w="108" w:type="dxa"/>
                  <w:bottom w:w="0" w:type="dxa"/>
                  <w:right w:w="108" w:type="dxa"/>
                </w:tblCellMar>
              </w:tblPrEx>
              <w:trPr>
                <w:jc w:val="center"/>
              </w:trPr>
              <w:tc>
                <w:tcPr>
                  <w:tcW w:w="3257" w:type="dxa"/>
                  <w:tcBorders>
                    <w:top w:val="single" w:color="000000" w:sz="4" w:space="0"/>
                    <w:left w:val="single" w:color="000000" w:sz="4" w:space="0"/>
                    <w:bottom w:val="single" w:color="000000" w:sz="4" w:space="0"/>
                    <w:right w:val="single" w:color="000000" w:sz="4" w:space="0"/>
                  </w:tcBorders>
                  <w:shd w:val="clear" w:color="auto" w:fill="D9D9D9"/>
                </w:tcPr>
                <w:p>
                  <w:pPr>
                    <w:spacing w:after="0"/>
                    <w:ind w:firstLine="1100"/>
                    <w:rPr>
                      <w:bCs/>
                      <w:lang w:val="en-US"/>
                    </w:rPr>
                  </w:pPr>
                  <w:r>
                    <w:rPr>
                      <w:bCs/>
                      <w:lang w:val="en-US"/>
                    </w:rPr>
                    <w:t>Monitoring report type</w:t>
                  </w:r>
                </w:p>
                <w:p>
                  <w:pPr>
                    <w:spacing w:after="0"/>
                    <w:rPr>
                      <w:bCs/>
                      <w:lang w:val="en-US"/>
                    </w:rPr>
                  </w:pPr>
                  <w:r>
                    <w:rPr>
                      <w:bCs/>
                      <w:lang w:val="en-US"/>
                    </w:rPr>
                    <w:t>Inference report type</w:t>
                  </w:r>
                </w:p>
              </w:tc>
              <w:tc>
                <w:tcPr>
                  <w:tcW w:w="1228" w:type="dxa"/>
                  <w:tcBorders>
                    <w:top w:val="single" w:color="000000" w:sz="4" w:space="0"/>
                    <w:left w:val="single" w:color="000000" w:sz="4" w:space="0"/>
                    <w:bottom w:val="single" w:color="000000" w:sz="4" w:space="0"/>
                    <w:right w:val="single" w:color="000000" w:sz="4" w:space="0"/>
                  </w:tcBorders>
                  <w:shd w:val="clear" w:color="auto" w:fill="D9D9D9"/>
                </w:tcPr>
                <w:p>
                  <w:pPr>
                    <w:spacing w:after="0"/>
                    <w:rPr>
                      <w:bCs/>
                    </w:rPr>
                  </w:pPr>
                  <w:r>
                    <w:rPr>
                      <w:bCs/>
                    </w:rPr>
                    <w:t>SP report</w:t>
                  </w:r>
                </w:p>
              </w:tc>
              <w:tc>
                <w:tcPr>
                  <w:tcW w:w="1229" w:type="dxa"/>
                  <w:tcBorders>
                    <w:top w:val="single" w:color="000000" w:sz="4" w:space="0"/>
                    <w:left w:val="single" w:color="000000" w:sz="4" w:space="0"/>
                    <w:bottom w:val="single" w:color="000000" w:sz="4" w:space="0"/>
                    <w:right w:val="single" w:color="000000" w:sz="4" w:space="0"/>
                  </w:tcBorders>
                  <w:shd w:val="clear" w:color="auto" w:fill="D9D9D9"/>
                </w:tcPr>
                <w:p>
                  <w:pPr>
                    <w:spacing w:after="0"/>
                    <w:rPr>
                      <w:bCs/>
                    </w:rPr>
                  </w:pPr>
                  <w:r>
                    <w:rPr>
                      <w:bCs/>
                    </w:rPr>
                    <w:t>AP report</w:t>
                  </w:r>
                </w:p>
              </w:tc>
            </w:tr>
            <w:tr>
              <w:tblPrEx>
                <w:tblCellMar>
                  <w:top w:w="0" w:type="dxa"/>
                  <w:left w:w="108" w:type="dxa"/>
                  <w:bottom w:w="0" w:type="dxa"/>
                  <w:right w:w="108" w:type="dxa"/>
                </w:tblCellMar>
              </w:tblPrEx>
              <w:trPr>
                <w:jc w:val="center"/>
              </w:trPr>
              <w:tc>
                <w:tcPr>
                  <w:tcW w:w="3257" w:type="dxa"/>
                  <w:tcBorders>
                    <w:top w:val="single" w:color="000000" w:sz="4" w:space="0"/>
                    <w:left w:val="single" w:color="000000" w:sz="4" w:space="0"/>
                    <w:bottom w:val="single" w:color="000000" w:sz="4" w:space="0"/>
                    <w:right w:val="single" w:color="000000" w:sz="4" w:space="0"/>
                  </w:tcBorders>
                  <w:shd w:val="clear" w:color="auto" w:fill="auto"/>
                </w:tcPr>
                <w:p>
                  <w:pPr>
                    <w:spacing w:after="0"/>
                    <w:rPr>
                      <w:bCs/>
                    </w:rPr>
                  </w:pPr>
                  <w:r>
                    <w:rPr>
                      <w:bCs/>
                    </w:rPr>
                    <w:t>AP report</w:t>
                  </w:r>
                </w:p>
              </w:tc>
              <w:tc>
                <w:tcPr>
                  <w:tcW w:w="1228" w:type="dxa"/>
                  <w:tcBorders>
                    <w:top w:val="single" w:color="000000" w:sz="4" w:space="0"/>
                    <w:left w:val="single" w:color="000000" w:sz="4" w:space="0"/>
                    <w:bottom w:val="single" w:color="000000" w:sz="4" w:space="0"/>
                    <w:right w:val="single" w:color="000000" w:sz="4" w:space="0"/>
                  </w:tcBorders>
                  <w:shd w:val="clear" w:color="auto" w:fill="auto"/>
                </w:tcPr>
                <w:p>
                  <w:pPr>
                    <w:spacing w:after="0"/>
                    <w:rPr>
                      <w:bCs/>
                    </w:rPr>
                  </w:pPr>
                  <w:r>
                    <w:rPr>
                      <w:bCs/>
                      <w:lang w:eastAsia="zh-CN"/>
                    </w:rPr>
                    <w:t>Not support</w:t>
                  </w:r>
                </w:p>
              </w:tc>
              <w:tc>
                <w:tcPr>
                  <w:tcW w:w="1229" w:type="dxa"/>
                  <w:tcBorders>
                    <w:top w:val="single" w:color="000000" w:sz="4" w:space="0"/>
                    <w:left w:val="single" w:color="000000" w:sz="4" w:space="0"/>
                    <w:bottom w:val="single" w:color="000000" w:sz="4" w:space="0"/>
                    <w:right w:val="single" w:color="000000" w:sz="4" w:space="0"/>
                  </w:tcBorders>
                  <w:shd w:val="clear" w:color="auto" w:fill="auto"/>
                </w:tcPr>
                <w:p>
                  <w:pPr>
                    <w:spacing w:after="0" w:line="276" w:lineRule="auto"/>
                    <w:rPr>
                      <w:bCs/>
                      <w:lang w:eastAsia="zh-CN"/>
                    </w:rPr>
                  </w:pPr>
                  <w:r>
                    <w:rPr>
                      <w:bCs/>
                      <w:lang w:eastAsia="zh-CN"/>
                    </w:rPr>
                    <w:t>Support</w:t>
                  </w:r>
                  <w:r>
                    <w:rPr>
                      <w:bCs/>
                      <w:lang w:eastAsia="zh-TW"/>
                    </w:rPr>
                    <w:t xml:space="preserve"> </w:t>
                  </w:r>
                </w:p>
              </w:tc>
            </w:tr>
            <w:tr>
              <w:tblPrEx>
                <w:tblCellMar>
                  <w:top w:w="0" w:type="dxa"/>
                  <w:left w:w="108" w:type="dxa"/>
                  <w:bottom w:w="0" w:type="dxa"/>
                  <w:right w:w="108" w:type="dxa"/>
                </w:tblCellMar>
              </w:tblPrEx>
              <w:trPr>
                <w:jc w:val="center"/>
              </w:trPr>
              <w:tc>
                <w:tcPr>
                  <w:tcW w:w="3257" w:type="dxa"/>
                  <w:tcBorders>
                    <w:top w:val="single" w:color="000000" w:sz="4" w:space="0"/>
                    <w:left w:val="single" w:color="000000" w:sz="4" w:space="0"/>
                    <w:bottom w:val="single" w:color="000000" w:sz="4" w:space="0"/>
                    <w:right w:val="single" w:color="000000" w:sz="4" w:space="0"/>
                  </w:tcBorders>
                  <w:shd w:val="clear" w:color="auto" w:fill="auto"/>
                </w:tcPr>
                <w:p>
                  <w:pPr>
                    <w:spacing w:after="0"/>
                    <w:rPr>
                      <w:bCs/>
                    </w:rPr>
                  </w:pPr>
                  <w:r>
                    <w:rPr>
                      <w:bCs/>
                    </w:rPr>
                    <w:t>SP report</w:t>
                  </w:r>
                </w:p>
              </w:tc>
              <w:tc>
                <w:tcPr>
                  <w:tcW w:w="1228" w:type="dxa"/>
                  <w:tcBorders>
                    <w:top w:val="single" w:color="000000" w:sz="4" w:space="0"/>
                    <w:left w:val="single" w:color="000000" w:sz="4" w:space="0"/>
                    <w:bottom w:val="single" w:color="000000" w:sz="4" w:space="0"/>
                    <w:right w:val="single" w:color="000000" w:sz="4" w:space="0"/>
                  </w:tcBorders>
                  <w:shd w:val="clear" w:color="auto" w:fill="auto"/>
                </w:tcPr>
                <w:p>
                  <w:pPr>
                    <w:spacing w:after="0"/>
                    <w:rPr>
                      <w:bCs/>
                    </w:rPr>
                  </w:pPr>
                  <w:r>
                    <w:rPr>
                      <w:bCs/>
                      <w:lang w:eastAsia="zh-CN"/>
                    </w:rPr>
                    <w:t>Support</w:t>
                  </w:r>
                </w:p>
              </w:tc>
              <w:tc>
                <w:tcPr>
                  <w:tcW w:w="1229" w:type="dxa"/>
                  <w:tcBorders>
                    <w:top w:val="single" w:color="000000" w:sz="4" w:space="0"/>
                    <w:left w:val="single" w:color="000000" w:sz="4" w:space="0"/>
                    <w:bottom w:val="single" w:color="000000" w:sz="4" w:space="0"/>
                    <w:right w:val="single" w:color="000000" w:sz="4" w:space="0"/>
                  </w:tcBorders>
                  <w:shd w:val="clear" w:color="auto" w:fill="auto"/>
                </w:tcPr>
                <w:p>
                  <w:pPr>
                    <w:spacing w:after="0" w:line="276" w:lineRule="auto"/>
                    <w:rPr>
                      <w:bCs/>
                      <w:lang w:eastAsia="zh-CN"/>
                    </w:rPr>
                  </w:pPr>
                  <w:r>
                    <w:rPr>
                      <w:bCs/>
                      <w:lang w:eastAsia="zh-CN"/>
                    </w:rPr>
                    <w:t>Support</w:t>
                  </w:r>
                </w:p>
              </w:tc>
            </w:tr>
          </w:tbl>
          <w:p>
            <w:pPr>
              <w:pStyle w:val="65"/>
              <w:numPr>
                <w:ilvl w:val="1"/>
                <w:numId w:val="21"/>
              </w:numPr>
              <w:spacing w:before="0" w:after="0" w:line="280" w:lineRule="atLeast"/>
              <w:rPr>
                <w:lang w:eastAsia="ko-KR"/>
              </w:rPr>
            </w:pPr>
            <w:r>
              <w:rPr>
                <w:lang w:eastAsia="ko-KR"/>
              </w:rPr>
              <w:t>For monitoring resource type for measurement, periodic, semi-persistent and aperiodic are supported.</w:t>
            </w:r>
          </w:p>
          <w:p>
            <w:pPr>
              <w:pStyle w:val="65"/>
              <w:spacing w:before="0" w:after="0" w:line="280" w:lineRule="atLeast"/>
              <w:ind w:left="0"/>
              <w:rPr>
                <w:lang w:eastAsia="ko-KR"/>
              </w:rPr>
            </w:pPr>
          </w:p>
          <w:p>
            <w:pPr>
              <w:spacing w:before="0" w:after="0" w:line="280" w:lineRule="atLeast"/>
              <w:rPr>
                <w:rFonts w:eastAsia="等线"/>
                <w:highlight w:val="green"/>
                <w:lang w:eastAsia="zh-CN"/>
              </w:rPr>
            </w:pPr>
            <w:r>
              <w:rPr>
                <w:rFonts w:hint="eastAsia" w:eastAsia="等线"/>
                <w:highlight w:val="green"/>
                <w:lang w:eastAsia="zh-CN"/>
              </w:rPr>
              <w:t>Agreement</w:t>
            </w:r>
          </w:p>
          <w:p>
            <w:pPr>
              <w:numPr>
                <w:ilvl w:val="0"/>
                <w:numId w:val="22"/>
              </w:numPr>
              <w:spacing w:before="0" w:after="0" w:line="280" w:lineRule="atLeast"/>
              <w:ind w:left="284" w:hanging="284"/>
              <w:rPr>
                <w:lang w:eastAsia="de-DE"/>
              </w:rPr>
            </w:pPr>
            <w:r>
              <w:rPr>
                <w:lang w:eastAsia="ko-KR"/>
              </w:rPr>
              <w:t xml:space="preserve">For CSI prediction using UE-side model, </w:t>
            </w:r>
            <w:r>
              <w:t>for UE assisted performance monitoring</w:t>
            </w:r>
            <w:r>
              <w:rPr>
                <w:lang w:eastAsia="de-DE"/>
              </w:rPr>
              <w:t xml:space="preserve">, </w:t>
            </w:r>
          </w:p>
          <w:p>
            <w:pPr>
              <w:pStyle w:val="65"/>
              <w:numPr>
                <w:ilvl w:val="0"/>
                <w:numId w:val="21"/>
              </w:numPr>
              <w:spacing w:before="0" w:after="0" w:line="280" w:lineRule="atLeast"/>
            </w:pPr>
            <w:r>
              <w:t xml:space="preserve">If the inference measurement resource is aperiodic CSI-RS, UE is expected to receive the monitoring report trigger, </w:t>
            </w:r>
            <w:r>
              <w:rPr>
                <w:rFonts w:hint="eastAsia"/>
              </w:rPr>
              <w:t xml:space="preserve">if any, </w:t>
            </w:r>
            <w:r>
              <w:t xml:space="preserve">no later than the first symbol of the earliest occasion of K inference measurement resources that are no later than the CSI reference resource of the associated inference report; </w:t>
            </w:r>
          </w:p>
          <w:p>
            <w:pPr>
              <w:pStyle w:val="65"/>
              <w:numPr>
                <w:ilvl w:val="1"/>
                <w:numId w:val="21"/>
              </w:numPr>
              <w:spacing w:before="0" w:after="0" w:line="280" w:lineRule="atLeast"/>
            </w:pPr>
            <w:r>
              <w:t>Additional active resource/port counting time for the aperiodic resource of the inference report is from the end of the inference report to the end of the triggered monitoring report</w:t>
            </w:r>
          </w:p>
          <w:p>
            <w:pPr>
              <w:pStyle w:val="65"/>
              <w:numPr>
                <w:ilvl w:val="0"/>
                <w:numId w:val="21"/>
              </w:numPr>
              <w:spacing w:before="0" w:after="0" w:line="280" w:lineRule="atLeast"/>
            </w:pPr>
            <w:r>
              <w:t>If inference report is aperiodic and the inference measurement resource is periodic or semi-persistent, UE is expected to receive the monitoring report trigger,</w:t>
            </w:r>
            <w:r>
              <w:rPr>
                <w:rFonts w:hint="eastAsia"/>
              </w:rPr>
              <w:t xml:space="preserve"> if any,</w:t>
            </w:r>
            <w:r>
              <w:t xml:space="preserve"> no later than the first symbol of the earliest occasion of the most recent Kp inference measurement resource transmission occasions that are no later than the CSI reference resource of the associated inference report</w:t>
            </w:r>
          </w:p>
          <w:p>
            <w:pPr>
              <w:spacing w:before="0" w:after="0" w:line="280" w:lineRule="atLeast"/>
              <w:rPr>
                <w:lang w:val="en-US" w:eastAsia="zh-CN"/>
              </w:rPr>
            </w:pPr>
          </w:p>
          <w:p>
            <w:pPr>
              <w:pStyle w:val="65"/>
              <w:spacing w:before="0" w:after="0" w:line="280" w:lineRule="atLeast"/>
              <w:ind w:left="0"/>
              <w:rPr>
                <w:rFonts w:eastAsia="等线"/>
                <w:highlight w:val="green"/>
              </w:rPr>
            </w:pPr>
            <w:r>
              <w:rPr>
                <w:rFonts w:hint="eastAsia" w:eastAsia="等线"/>
                <w:highlight w:val="green"/>
              </w:rPr>
              <w:t>Agreement</w:t>
            </w:r>
          </w:p>
          <w:p>
            <w:pPr>
              <w:spacing w:before="0" w:after="0" w:line="280" w:lineRule="atLeast"/>
              <w:rPr>
                <w:lang w:eastAsia="ko-KR"/>
              </w:rPr>
            </w:pPr>
            <w:r>
              <w:rPr>
                <w:lang w:eastAsia="ko-KR"/>
              </w:rPr>
              <w:t xml:space="preserve">For CSI prediction using UE-side model, for data collection for training, </w:t>
            </w:r>
          </w:p>
          <w:p>
            <w:pPr>
              <w:pStyle w:val="65"/>
              <w:numPr>
                <w:ilvl w:val="0"/>
                <w:numId w:val="21"/>
              </w:numPr>
              <w:spacing w:before="0" w:after="0" w:line="280" w:lineRule="atLeast"/>
              <w:rPr>
                <w:lang w:eastAsia="ko-KR"/>
              </w:rPr>
            </w:pPr>
            <w:r>
              <w:rPr>
                <w:rFonts w:eastAsia="等线"/>
                <w:iCs/>
                <w:lang w:val="en-US" w:eastAsia="ko-KR"/>
              </w:rPr>
              <w:t>O</w:t>
            </w:r>
            <w:r>
              <w:rPr>
                <w:rFonts w:eastAsia="等线"/>
                <w:iCs/>
                <w:vertAlign w:val="subscript"/>
                <w:lang w:val="en-US" w:eastAsia="ko-KR"/>
              </w:rPr>
              <w:t>CPU</w:t>
            </w:r>
            <w:r>
              <w:rPr>
                <w:rFonts w:eastAsia="等线"/>
                <w:iCs/>
                <w:lang w:val="en-US" w:eastAsia="ko-KR"/>
              </w:rPr>
              <w:t>=1</w:t>
            </w:r>
          </w:p>
          <w:p>
            <w:pPr>
              <w:pStyle w:val="65"/>
              <w:numPr>
                <w:ilvl w:val="0"/>
                <w:numId w:val="21"/>
              </w:numPr>
              <w:spacing w:before="0" w:after="0" w:line="280" w:lineRule="atLeast"/>
              <w:rPr>
                <w:lang w:eastAsia="ko-KR"/>
              </w:rPr>
            </w:pPr>
            <w:r>
              <w:rPr>
                <w:lang w:eastAsia="ko-KR"/>
              </w:rPr>
              <w:t>the CPU occupancy starts from the first symbol of each P/SP-CSI-RS occasion till Z3’ symbols after the P/SP-CSI-RS occasion.</w:t>
            </w:r>
          </w:p>
          <w:p>
            <w:pPr>
              <w:pStyle w:val="65"/>
              <w:tabs>
                <w:tab w:val="left" w:pos="0"/>
              </w:tabs>
              <w:spacing w:before="0" w:after="0" w:line="280" w:lineRule="atLeast"/>
              <w:ind w:left="0"/>
              <w:rPr>
                <w:lang w:eastAsia="ko-KR"/>
              </w:rPr>
            </w:pPr>
          </w:p>
          <w:p>
            <w:pPr>
              <w:pStyle w:val="65"/>
              <w:spacing w:before="0" w:after="0" w:line="280" w:lineRule="atLeast"/>
              <w:ind w:left="0"/>
              <w:rPr>
                <w:rFonts w:eastAsia="等线"/>
                <w:highlight w:val="green"/>
              </w:rPr>
            </w:pPr>
            <w:r>
              <w:rPr>
                <w:rFonts w:hint="eastAsia" w:eastAsia="等线"/>
                <w:highlight w:val="green"/>
              </w:rPr>
              <w:t>Agreement</w:t>
            </w:r>
          </w:p>
          <w:p>
            <w:pPr>
              <w:spacing w:before="0" w:after="0" w:line="280" w:lineRule="atLeast"/>
            </w:pPr>
            <w:r>
              <w:rPr>
                <w:lang w:eastAsia="ko-KR"/>
              </w:rPr>
              <w:t xml:space="preserve">For CSI prediction using UE-side model, </w:t>
            </w:r>
            <w:r>
              <w:t>for reporting contents of UE assisted performance monitoring,</w:t>
            </w:r>
          </w:p>
          <w:p>
            <w:pPr>
              <w:pStyle w:val="65"/>
              <w:numPr>
                <w:ilvl w:val="0"/>
                <w:numId w:val="21"/>
              </w:numPr>
              <w:spacing w:before="0" w:after="0" w:line="280" w:lineRule="atLeast"/>
            </w:pPr>
            <w:r>
              <w:rPr>
                <w:rFonts w:eastAsia="等线"/>
              </w:rPr>
              <w:t xml:space="preserve">one SGCS is calculated based </w:t>
            </w:r>
            <w:r>
              <w:rPr>
                <w:lang w:eastAsia="ko-KR"/>
              </w:rPr>
              <w:t>on predicted CSI</w:t>
            </w:r>
            <w:r>
              <w:rPr>
                <w:rFonts w:eastAsia="等线"/>
              </w:rPr>
              <w:t xml:space="preserve"> for one inference reporting</w:t>
            </w:r>
            <w:r>
              <w:rPr>
                <w:lang w:eastAsia="ko-KR"/>
              </w:rPr>
              <w:t xml:space="preserve">, </w:t>
            </w:r>
            <w:r>
              <w:rPr>
                <w:rFonts w:eastAsia="等线"/>
              </w:rPr>
              <w:t xml:space="preserve">and </w:t>
            </w:r>
            <w:r>
              <w:rPr>
                <w:lang w:eastAsia="ko-KR"/>
              </w:rPr>
              <w:t>ground truth CSI</w:t>
            </w:r>
            <w:r>
              <w:rPr>
                <w:rFonts w:eastAsia="等线"/>
              </w:rPr>
              <w:t xml:space="preserve">, another SGCS is </w:t>
            </w:r>
            <w:r>
              <w:rPr>
                <w:lang w:eastAsia="ko-KR"/>
              </w:rPr>
              <w:t>based on ground truth CSI a</w:t>
            </w:r>
            <w:r>
              <w:rPr>
                <w:rFonts w:eastAsia="等线"/>
              </w:rPr>
              <w:t>nd CSI (non-predicted) corresponding to the latest CSI-RS transmission occasion not later than CSI reference resource of the inference reporting instance</w:t>
            </w:r>
          </w:p>
          <w:p>
            <w:pPr>
              <w:pStyle w:val="65"/>
              <w:numPr>
                <w:ilvl w:val="0"/>
                <w:numId w:val="21"/>
              </w:numPr>
              <w:spacing w:before="0" w:after="0" w:line="280" w:lineRule="atLeast"/>
            </w:pPr>
            <w:r>
              <w:t>SGCS is reported</w:t>
            </w:r>
          </w:p>
          <w:p>
            <w:pPr>
              <w:pStyle w:val="65"/>
              <w:numPr>
                <w:ilvl w:val="1"/>
                <w:numId w:val="21"/>
              </w:numPr>
              <w:spacing w:before="0" w:after="0" w:line="280" w:lineRule="atLeast"/>
              <w:rPr>
                <w:rFonts w:eastAsia="等线"/>
                <w:lang w:eastAsia="ko-KR"/>
              </w:rPr>
            </w:pPr>
            <w:r>
              <w:rPr>
                <w:rFonts w:eastAsia="等线"/>
                <w:lang w:eastAsia="ko-KR"/>
              </w:rPr>
              <w:t>wideband frequency granularity</w:t>
            </w:r>
          </w:p>
          <w:p>
            <w:pPr>
              <w:pStyle w:val="65"/>
              <w:numPr>
                <w:ilvl w:val="1"/>
                <w:numId w:val="21"/>
              </w:numPr>
              <w:spacing w:before="0" w:after="0" w:line="280" w:lineRule="atLeast"/>
              <w:rPr>
                <w:rFonts w:eastAsia="等线"/>
                <w:lang w:eastAsia="ko-KR"/>
              </w:rPr>
            </w:pPr>
            <w:r>
              <w:rPr>
                <w:rFonts w:eastAsia="等线"/>
                <w:lang w:eastAsia="ko-KR"/>
              </w:rPr>
              <w:t>only for one pr</w:t>
            </w:r>
            <w:r>
              <w:rPr>
                <w:rFonts w:hint="eastAsia" w:eastAsia="等线"/>
                <w:lang w:val="en-US" w:eastAsia="zh-CN"/>
              </w:rPr>
              <w:t>e</w:t>
            </w:r>
            <w:r>
              <w:rPr>
                <w:rFonts w:eastAsia="等线"/>
                <w:lang w:eastAsia="ko-KR"/>
              </w:rPr>
              <w:t>diction instance configured by NW</w:t>
            </w:r>
          </w:p>
          <w:p>
            <w:pPr>
              <w:pStyle w:val="65"/>
              <w:numPr>
                <w:ilvl w:val="1"/>
                <w:numId w:val="21"/>
              </w:numPr>
              <w:spacing w:before="0" w:after="0" w:line="280" w:lineRule="atLeast"/>
              <w:rPr>
                <w:rFonts w:eastAsia="等线"/>
                <w:lang w:eastAsia="ko-KR"/>
              </w:rPr>
            </w:pPr>
            <w:r>
              <w:rPr>
                <w:rFonts w:eastAsia="等线"/>
                <w:lang w:eastAsia="ko-KR"/>
              </w:rPr>
              <w:t xml:space="preserve">per layer, and the total number of layers is the same as the reported RI in the associated inference report </w:t>
            </w:r>
          </w:p>
          <w:p>
            <w:pPr>
              <w:pStyle w:val="65"/>
              <w:numPr>
                <w:ilvl w:val="0"/>
                <w:numId w:val="21"/>
              </w:numPr>
              <w:spacing w:before="0" w:after="0" w:line="280" w:lineRule="atLeast"/>
              <w:rPr>
                <w:rFonts w:eastAsia="等线"/>
                <w:lang w:eastAsia="ko-KR"/>
              </w:rPr>
            </w:pPr>
            <w:r>
              <w:rPr>
                <w:rFonts w:eastAsia="等线"/>
                <w:lang w:eastAsia="ko-KR"/>
              </w:rPr>
              <w:t xml:space="preserve">Introduce new RRC parameter for </w:t>
            </w:r>
            <w:r>
              <w:rPr>
                <w:bCs/>
                <w:iCs/>
                <w:lang w:eastAsia="ko-KR"/>
              </w:rPr>
              <w:t>reportQuantity</w:t>
            </w:r>
            <w:r>
              <w:rPr>
                <w:rFonts w:eastAsia="等线"/>
                <w:lang w:eastAsia="ko-KR"/>
              </w:rPr>
              <w:t>, e.g., ‘SGCS-r19’</w:t>
            </w:r>
          </w:p>
          <w:p>
            <w:pPr>
              <w:pStyle w:val="65"/>
              <w:numPr>
                <w:ilvl w:val="0"/>
                <w:numId w:val="21"/>
              </w:numPr>
              <w:spacing w:before="0" w:after="0" w:line="280" w:lineRule="atLeast"/>
              <w:rPr>
                <w:rFonts w:eastAsia="等线"/>
                <w:lang w:eastAsia="ko-KR"/>
              </w:rPr>
            </w:pPr>
            <w:r>
              <w:rPr>
                <w:rFonts w:eastAsia="等线"/>
                <w:lang w:eastAsia="ko-KR"/>
              </w:rPr>
              <w:t xml:space="preserve">Each SGCS value is quantized with 4-bit </w:t>
            </w:r>
          </w:p>
          <w:p>
            <w:pPr>
              <w:pStyle w:val="65"/>
              <w:numPr>
                <w:ilvl w:val="1"/>
                <w:numId w:val="21"/>
              </w:numPr>
              <w:spacing w:before="0" w:after="0" w:line="280" w:lineRule="atLeast"/>
            </w:pPr>
            <w:r>
              <w:rPr>
                <w:rFonts w:hint="eastAsia" w:eastAsia="等线"/>
              </w:rPr>
              <w:t xml:space="preserve">15 </w:t>
            </w:r>
            <w:r>
              <w:rPr>
                <w:lang w:eastAsia="ko-KR"/>
              </w:rPr>
              <w:t>codepoints are used to uniformly quantize in range [0.3 1</w:t>
            </w:r>
            <w:r>
              <w:t>]</w:t>
            </w:r>
            <w:r>
              <w:rPr>
                <w:lang w:eastAsia="ko-KR"/>
              </w:rPr>
              <w:t xml:space="preserve"> in linear scale.</w:t>
            </w:r>
          </w:p>
          <w:p>
            <w:pPr>
              <w:pStyle w:val="65"/>
              <w:numPr>
                <w:ilvl w:val="1"/>
                <w:numId w:val="21"/>
              </w:numPr>
              <w:spacing w:before="0" w:after="0" w:line="280" w:lineRule="atLeast"/>
            </w:pPr>
            <w:r>
              <w:t>One codepoint is used to indicate the value range of (0 0.3]</w:t>
            </w:r>
          </w:p>
          <w:p>
            <w:pPr>
              <w:pStyle w:val="65"/>
              <w:numPr>
                <w:ilvl w:val="0"/>
                <w:numId w:val="21"/>
              </w:numPr>
              <w:spacing w:before="0" w:after="0" w:line="280" w:lineRule="atLeast"/>
              <w:textAlignment w:val="center"/>
            </w:pPr>
            <w:r>
              <w:t xml:space="preserve">Only one monitoring resource set is configured in the </w:t>
            </w:r>
            <w:r>
              <w:rPr>
                <w:rFonts w:eastAsia="Times New Roman"/>
                <w:i/>
                <w:iCs/>
              </w:rPr>
              <w:t>CSI-ReportConfig</w:t>
            </w:r>
          </w:p>
          <w:p>
            <w:pPr>
              <w:pStyle w:val="65"/>
              <w:numPr>
                <w:ilvl w:val="0"/>
                <w:numId w:val="21"/>
              </w:numPr>
              <w:spacing w:before="0" w:after="0" w:line="280" w:lineRule="atLeast"/>
              <w:textAlignment w:val="center"/>
              <w:rPr>
                <w:bCs/>
                <w:lang w:val="en-US" w:eastAsia="zh-CN"/>
              </w:rPr>
            </w:pPr>
            <w:r>
              <w:t xml:space="preserve">The one configured time instance (i.e. f-th doppler domain unit in one inference report) for SGCS calculation is configured in the </w:t>
            </w:r>
            <w:r>
              <w:rPr>
                <w:rFonts w:eastAsia="Times New Roman"/>
                <w:i/>
                <w:iCs/>
              </w:rPr>
              <w:t xml:space="preserve">CSI-ReportConfig </w:t>
            </w:r>
            <w:r>
              <w:rPr>
                <w:rFonts w:eastAsia="Times New Roman"/>
              </w:rPr>
              <w:t>for monitoring, for N4&gt;1</w:t>
            </w:r>
          </w:p>
          <w:p>
            <w:pPr>
              <w:pStyle w:val="65"/>
              <w:tabs>
                <w:tab w:val="left" w:pos="0"/>
              </w:tabs>
              <w:spacing w:before="0" w:after="0" w:line="280" w:lineRule="atLeast"/>
              <w:ind w:left="0"/>
              <w:rPr>
                <w:lang w:eastAsia="ko-KR"/>
              </w:rPr>
            </w:pPr>
          </w:p>
          <w:p>
            <w:pPr>
              <w:pStyle w:val="65"/>
              <w:spacing w:before="0" w:after="0" w:line="280" w:lineRule="atLeast"/>
              <w:ind w:left="0"/>
              <w:rPr>
                <w:rFonts w:eastAsia="等线"/>
                <w:highlight w:val="green"/>
              </w:rPr>
            </w:pPr>
            <w:r>
              <w:rPr>
                <w:rFonts w:hint="eastAsia" w:eastAsia="等线"/>
                <w:highlight w:val="green"/>
              </w:rPr>
              <w:t>Agreement</w:t>
            </w:r>
          </w:p>
          <w:p>
            <w:pPr>
              <w:spacing w:before="0" w:after="0" w:line="280" w:lineRule="atLeast"/>
              <w:rPr>
                <w:lang w:eastAsia="ko-KR"/>
              </w:rPr>
            </w:pPr>
            <w:r>
              <w:rPr>
                <w:lang w:eastAsia="ko-KR"/>
              </w:rPr>
              <w:t xml:space="preserve">For CSI prediction using UE-side model, support </w:t>
            </w:r>
            <w:r>
              <w:rPr>
                <w:rFonts w:hint="eastAsia" w:eastAsia="等线"/>
                <w:lang w:eastAsia="zh-CN"/>
              </w:rPr>
              <w:t xml:space="preserve">single UCI part with </w:t>
            </w:r>
            <w:r>
              <w:rPr>
                <w:lang w:eastAsia="ko-KR"/>
              </w:rPr>
              <w:t xml:space="preserve">the following report format (i.e., CSI field mapping order) among a set of SGCSs. </w:t>
            </w:r>
          </w:p>
          <w:tbl>
            <w:tblPr>
              <w:tblStyle w:val="50"/>
              <w:tblW w:w="5035" w:type="dxa"/>
              <w:jc w:val="center"/>
              <w:tblLayout w:type="autofit"/>
              <w:tblCellMar>
                <w:top w:w="0" w:type="dxa"/>
                <w:left w:w="0" w:type="dxa"/>
                <w:bottom w:w="0" w:type="dxa"/>
                <w:right w:w="0" w:type="dxa"/>
              </w:tblCellMar>
            </w:tblPr>
            <w:tblGrid>
              <w:gridCol w:w="5035"/>
            </w:tblGrid>
            <w:tr>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spacing w:after="0"/>
                    <w:jc w:val="center"/>
                  </w:pPr>
                  <w:r>
                    <w:t>SGCS</w:t>
                  </w:r>
                  <w:r>
                    <w:rPr>
                      <w:vertAlign w:val="subscript"/>
                    </w:rPr>
                    <w:t>1</w:t>
                  </w:r>
                  <w:r>
                    <w:t xml:space="preserve">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spacing w:after="0"/>
                    <w:jc w:val="center"/>
                  </w:pPr>
                  <w:r>
                    <w:t>SGCS</w:t>
                  </w:r>
                  <w:r>
                    <w:rPr>
                      <w:vertAlign w:val="subscript"/>
                    </w:rPr>
                    <w:t>1</w:t>
                  </w:r>
                  <w:r>
                    <w:t xml:space="preserve">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spacing w:after="0"/>
                    <w:ind w:left="730" w:leftChars="223" w:hanging="284" w:hangingChars="142"/>
                    <w:jc w:val="center"/>
                  </w:pPr>
                  <w: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spacing w:after="0"/>
                    <w:jc w:val="center"/>
                  </w:pPr>
                  <w:r>
                    <w:t>SGCS</w:t>
                  </w:r>
                  <w:r>
                    <w:rPr>
                      <w:vertAlign w:val="subscript"/>
                    </w:rPr>
                    <w:t>1</w:t>
                  </w:r>
                  <w:r>
                    <w:t xml:space="preserve"> #</w:t>
                  </w:r>
                  <w:r>
                    <w:rPr>
                      <w:i/>
                    </w:rPr>
                    <w:t>v</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spacing w:after="0"/>
                    <w:jc w:val="center"/>
                  </w:pPr>
                  <w:r>
                    <w:t>SGCS</w:t>
                  </w:r>
                  <w:r>
                    <w:rPr>
                      <w:vertAlign w:val="subscript"/>
                    </w:rPr>
                    <w:t>2</w:t>
                  </w:r>
                  <w:r>
                    <w:t xml:space="preserve">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spacing w:after="0"/>
                    <w:jc w:val="center"/>
                  </w:pPr>
                  <w:r>
                    <w:t>SGCS</w:t>
                  </w:r>
                  <w:r>
                    <w:rPr>
                      <w:vertAlign w:val="subscript"/>
                    </w:rPr>
                    <w:t>2</w:t>
                  </w:r>
                  <w:r>
                    <w:t xml:space="preserve">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spacing w:after="0"/>
                    <w:ind w:left="730" w:leftChars="223" w:hanging="284" w:hangingChars="142"/>
                    <w:jc w:val="center"/>
                  </w:pPr>
                  <w: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spacing w:after="0"/>
                    <w:jc w:val="center"/>
                  </w:pPr>
                  <w:r>
                    <w:t>SGCS</w:t>
                  </w:r>
                  <w:r>
                    <w:rPr>
                      <w:vertAlign w:val="subscript"/>
                    </w:rPr>
                    <w:t>2</w:t>
                  </w:r>
                  <w:r>
                    <w:t xml:space="preserve"> #</w:t>
                  </w:r>
                  <w:r>
                    <w:rPr>
                      <w:i/>
                    </w:rPr>
                    <w:t>v</w:t>
                  </w:r>
                </w:p>
              </w:tc>
            </w:tr>
          </w:tbl>
          <w:p>
            <w:pPr>
              <w:pStyle w:val="65"/>
              <w:numPr>
                <w:ilvl w:val="0"/>
                <w:numId w:val="21"/>
              </w:numPr>
              <w:spacing w:before="0" w:after="0" w:line="280" w:lineRule="atLeast"/>
              <w:rPr>
                <w:lang w:eastAsia="ko-KR"/>
              </w:rPr>
            </w:pPr>
            <w:r>
              <w:t>SGCS</w:t>
            </w:r>
            <w:r>
              <w:rPr>
                <w:vertAlign w:val="subscript"/>
              </w:rPr>
              <w:t xml:space="preserve">1 </w:t>
            </w:r>
            <w:r>
              <w:rPr>
                <w:lang w:eastAsia="ko-KR"/>
              </w:rPr>
              <w:t xml:space="preserve">is calculated based on predicted CSI for one inference reporting, and ground truth CSI, </w:t>
            </w:r>
          </w:p>
          <w:p>
            <w:pPr>
              <w:pStyle w:val="65"/>
              <w:numPr>
                <w:ilvl w:val="0"/>
                <w:numId w:val="21"/>
              </w:numPr>
              <w:spacing w:before="0" w:after="0" w:line="280" w:lineRule="atLeast"/>
              <w:rPr>
                <w:lang w:eastAsia="ko-KR"/>
              </w:rPr>
            </w:pPr>
            <w:r>
              <w:t>SGCS</w:t>
            </w:r>
            <w:r>
              <w:rPr>
                <w:vertAlign w:val="subscript"/>
              </w:rPr>
              <w:t xml:space="preserve">2 </w:t>
            </w:r>
            <w:r>
              <w:rPr>
                <w:lang w:eastAsia="ko-KR"/>
              </w:rPr>
              <w:t>is based on ground truth CSI and CSI (non-predicted) corresponding to the latest CSI-RS transmission occasion not later than CSI reference resource of the inference reporting instance</w:t>
            </w:r>
          </w:p>
          <w:p>
            <w:pPr>
              <w:pStyle w:val="65"/>
              <w:numPr>
                <w:ilvl w:val="0"/>
                <w:numId w:val="21"/>
              </w:numPr>
              <w:spacing w:before="0" w:after="0" w:line="280" w:lineRule="atLeast"/>
              <w:rPr>
                <w:lang w:eastAsia="ko-KR"/>
              </w:rPr>
            </w:pPr>
            <w:r>
              <w:t>SGCS</w:t>
            </w:r>
            <w:r>
              <w:rPr>
                <w:vertAlign w:val="subscript"/>
              </w:rPr>
              <w:t>i</w:t>
            </w:r>
            <w:r>
              <w:t xml:space="preserve"> #</w:t>
            </w:r>
            <w:r>
              <w:rPr>
                <w:i/>
              </w:rPr>
              <w:t>k</w:t>
            </w:r>
            <w:r>
              <w:t xml:space="preserve"> is the SGCS of </w:t>
            </w:r>
            <w:r>
              <w:rPr>
                <w:i/>
              </w:rPr>
              <w:t>k</w:t>
            </w:r>
            <w:r>
              <w:t xml:space="preserve">-th layer of </w:t>
            </w:r>
            <w:r>
              <w:rPr>
                <w:i/>
              </w:rPr>
              <w:t>i</w:t>
            </w:r>
            <w:r>
              <w:t xml:space="preserve">-th SGCS where </w:t>
            </w:r>
            <w:r>
              <w:rPr>
                <w:i/>
              </w:rPr>
              <w:t>k</w:t>
            </w:r>
            <w:r>
              <w:t xml:space="preserve"> ={1, …., </w:t>
            </w:r>
            <w:r>
              <w:rPr>
                <w:i/>
              </w:rPr>
              <w:t>v</w:t>
            </w:r>
            <w:r>
              <w:t>}</w:t>
            </w:r>
            <w:r>
              <w:rPr>
                <w:i/>
              </w:rPr>
              <w:t xml:space="preserve">, </w:t>
            </w:r>
            <w:r>
              <w:t>and</w:t>
            </w:r>
            <w:r>
              <w:rPr>
                <w:i/>
              </w:rPr>
              <w:t xml:space="preserve"> i</w:t>
            </w:r>
            <w:r>
              <w:t xml:space="preserve"> ={1, 2}.</w:t>
            </w:r>
          </w:p>
          <w:p>
            <w:pPr>
              <w:pStyle w:val="65"/>
              <w:spacing w:before="0" w:after="0" w:line="280" w:lineRule="atLeast"/>
              <w:ind w:left="0"/>
              <w:textAlignment w:val="center"/>
            </w:pPr>
            <w:r>
              <w:rPr>
                <w:i/>
              </w:rPr>
              <w:t>v</w:t>
            </w:r>
            <w:r>
              <w:t xml:space="preserve"> is the value of the reported RI in the associated inference report.</w:t>
            </w:r>
          </w:p>
          <w:p>
            <w:pPr>
              <w:spacing w:before="120" w:after="0" w:line="280" w:lineRule="atLeast"/>
              <w:rPr>
                <w:lang w:val="en-US" w:eastAsia="zh-CN"/>
              </w:rPr>
            </w:pPr>
          </w:p>
        </w:tc>
      </w:tr>
    </w:tbl>
    <w:p>
      <w:pPr>
        <w:rPr>
          <w:rFonts w:eastAsiaTheme="minorEastAsia"/>
          <w:lang w:val="en-US" w:eastAsia="zh-CN"/>
        </w:rPr>
      </w:pPr>
      <w:r>
        <w:rPr>
          <w:rFonts w:hint="eastAsia" w:eastAsiaTheme="minorEastAsia"/>
          <w:lang w:val="en-US" w:eastAsia="zh-CN"/>
        </w:rPr>
        <w:t>Although RAN1#121 meeting has handled the majority of the WI for AI CSI prediction, there are important issues remained to be resolved during the maintenance phase in the next few meetings. The issues are identified in two major categories. The first category is the clarification for agreements in the past meetings, such as the definition of SGCS for wideband granularity. The second is to handle the unresolved issues, such as monitoring triggering occasion for semi-persistent monitoring report.</w:t>
      </w:r>
    </w:p>
    <w:p>
      <w:pPr>
        <w:pStyle w:val="2"/>
        <w:rPr>
          <w:rFonts w:cs="Arial"/>
          <w:lang w:val="en-US" w:eastAsia="zh-CN"/>
        </w:rPr>
      </w:pPr>
      <w:bookmarkStart w:id="3" w:name="_Hlk157949570"/>
      <w:r>
        <w:rPr>
          <w:rFonts w:cs="Arial"/>
          <w:lang w:val="en-US" w:eastAsia="zh-CN"/>
        </w:rPr>
        <w:t>Performance monitoring</w:t>
      </w:r>
      <w:r>
        <w:rPr>
          <w:rFonts w:hint="eastAsia" w:cs="Arial"/>
          <w:lang w:val="en-US" w:eastAsia="zh-CN"/>
        </w:rPr>
        <w:t xml:space="preserve"> for </w:t>
      </w:r>
      <w:r>
        <w:rPr>
          <w:lang w:val="en-US" w:eastAsia="zh-CN"/>
        </w:rPr>
        <w:t>AI CSI prediction</w:t>
      </w:r>
    </w:p>
    <w:p>
      <w:pPr>
        <w:pStyle w:val="3"/>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Discussions about the wideband SGCS report</w:t>
      </w:r>
    </w:p>
    <w:p>
      <w:pPr>
        <w:rPr>
          <w:rFonts w:hAnsi="Cambria Math"/>
          <w:iCs/>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In RAN1#120b meeting, companies a</w:t>
      </w:r>
      <w:r>
        <w:rPr>
          <w:rFonts w:hint="eastAsia" w:hAnsi="Cambria Math"/>
          <w:color w:val="000000" w:themeColor="text1"/>
          <w:lang w:val="en-US" w:eastAsia="zh-CN"/>
          <w14:textFill>
            <w14:solidFill>
              <w14:schemeClr w14:val="tx1"/>
            </w14:solidFill>
          </w14:textFill>
        </w:rPr>
        <w:t xml:space="preserve">greed to use the SGCS as the performance metric for AI CSI prediction as defined in the following agreement [2]. </w:t>
      </w:r>
      <w:r>
        <w:rPr>
          <w:rFonts w:hint="eastAsia"/>
          <w:color w:val="000000" w:themeColor="text1"/>
          <w:lang w:val="en-US" w:eastAsia="zh-CN"/>
          <w14:textFill>
            <w14:solidFill>
              <w14:schemeClr w14:val="tx1"/>
            </w14:solidFill>
          </w14:textFill>
        </w:rPr>
        <w:t xml:space="preserve">It can be directly observed from the agreement that the SGCS is defined per layer, per subband and per prediction instance.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after="0" w:line="240" w:lineRule="auto"/>
              <w:rPr>
                <w:highlight w:val="green"/>
                <w:lang w:eastAsia="zh-CN"/>
              </w:rPr>
            </w:pPr>
            <w:r>
              <w:rPr>
                <w:rFonts w:hint="eastAsia"/>
                <w:highlight w:val="green"/>
                <w:lang w:eastAsia="zh-CN"/>
              </w:rPr>
              <w:t>Agreement</w:t>
            </w:r>
          </w:p>
          <w:p>
            <w:pPr>
              <w:spacing w:before="120" w:after="0" w:line="240" w:lineRule="auto"/>
              <w:rPr>
                <w:lang w:eastAsia="zh-CN"/>
              </w:rPr>
            </w:pPr>
            <w:r>
              <w:rPr>
                <w:rFonts w:eastAsia="等线"/>
                <w:lang w:val="en-US" w:eastAsia="ko-KR"/>
              </w:rPr>
              <w:t>For the definition of SGCS,</w:t>
            </w:r>
          </w:p>
          <w:p>
            <w:pPr>
              <w:pStyle w:val="65"/>
              <w:numPr>
                <w:ilvl w:val="0"/>
                <w:numId w:val="21"/>
              </w:numPr>
              <w:spacing w:before="0" w:after="0" w:line="280" w:lineRule="atLeast"/>
              <w:rPr>
                <w:color w:val="000000" w:themeColor="text1"/>
                <w:lang w:eastAsia="ko-KR"/>
                <w14:textFill>
                  <w14:solidFill>
                    <w14:schemeClr w14:val="tx1"/>
                  </w14:solidFill>
                </w14:textFill>
              </w:rPr>
            </w:pPr>
            <w:r>
              <w:rPr>
                <w:rFonts w:cs="Times"/>
                <w:color w:val="000000" w:themeColor="text1"/>
                <w14:textFill>
                  <w14:solidFill>
                    <w14:schemeClr w14:val="tx1"/>
                  </w14:solidFill>
                </w14:textFill>
              </w:rPr>
              <w:t xml:space="preserve">For a given layer </w:t>
            </w:r>
            <m:oMath>
              <m:r>
                <m:rPr/>
                <w:rPr>
                  <w:rFonts w:ascii="Cambria Math" w:hAnsi="Cambria Math" w:cs="Times"/>
                  <w:color w:val="000000" w:themeColor="text1"/>
                  <w14:textFill>
                    <w14:solidFill>
                      <w14:schemeClr w14:val="tx1"/>
                    </w14:solidFill>
                  </w14:textFill>
                </w:rPr>
                <m:t>l</m:t>
              </m:r>
              <m:r>
                <m:rPr>
                  <m:sty m:val="p"/>
                </m:rPr>
                <w:rPr>
                  <w:rFonts w:ascii="Cambria Math" w:hAnsi="Cambria Math" w:cs="Times"/>
                  <w:color w:val="000000" w:themeColor="text1"/>
                  <w14:textFill>
                    <w14:solidFill>
                      <w14:schemeClr w14:val="tx1"/>
                    </w14:solidFill>
                  </w14:textFill>
                </w:rPr>
                <m:t>∈{1,…,</m:t>
              </m:r>
              <m:r>
                <m:rPr/>
                <w:rPr>
                  <w:rFonts w:ascii="Cambria Math" w:hAnsi="Cambria Math" w:cs="Times"/>
                  <w:color w:val="000000" w:themeColor="text1"/>
                  <w14:textFill>
                    <w14:solidFill>
                      <w14:schemeClr w14:val="tx1"/>
                    </w14:solidFill>
                  </w14:textFill>
                </w:rPr>
                <m:t>v</m:t>
              </m:r>
              <m:r>
                <m:rPr>
                  <m:sty m:val="p"/>
                </m:rPr>
                <w:rPr>
                  <w:rFonts w:ascii="Cambria Math" w:hAnsi="Cambria Math" w:cs="Times"/>
                  <w:color w:val="000000" w:themeColor="text1"/>
                  <w14:textFill>
                    <w14:solidFill>
                      <w14:schemeClr w14:val="tx1"/>
                    </w14:solidFill>
                  </w14:textFill>
                </w:rPr>
                <m:t>}</m:t>
              </m:r>
            </m:oMath>
            <w:r>
              <w:rPr>
                <w:rFonts w:hint="eastAsia" w:cs="Times"/>
                <w:color w:val="000000" w:themeColor="text1"/>
                <w:lang w:eastAsia="ko-KR"/>
                <w14:textFill>
                  <w14:solidFill>
                    <w14:schemeClr w14:val="tx1"/>
                  </w14:solidFill>
                </w14:textFill>
              </w:rPr>
              <w:t>,</w:t>
            </w:r>
            <w:r>
              <w:rPr>
                <w:rFonts w:cs="Times"/>
                <w:color w:val="000000" w:themeColor="text1"/>
                <w:lang w:eastAsia="ko-KR"/>
                <w14:textFill>
                  <w14:solidFill>
                    <w14:schemeClr w14:val="tx1"/>
                  </w14:solidFill>
                </w14:textFill>
              </w:rPr>
              <w:t xml:space="preserve"> </w:t>
            </w:r>
            <w:r>
              <w:rPr>
                <w:rFonts w:cs="Times"/>
                <w:color w:val="000000" w:themeColor="text1"/>
                <w14:textFill>
                  <w14:solidFill>
                    <w14:schemeClr w14:val="tx1"/>
                  </w14:solidFill>
                </w14:textFill>
              </w:rPr>
              <w:t xml:space="preserve"> </w:t>
            </w:r>
            <w:r>
              <w:rPr>
                <w:rFonts w:hint="eastAsia" w:cs="Times"/>
                <w:color w:val="000000" w:themeColor="text1"/>
                <w14:textFill>
                  <w14:solidFill>
                    <w14:schemeClr w14:val="tx1"/>
                  </w14:solidFill>
                </w14:textFill>
              </w:rPr>
              <w:t xml:space="preserve">subband </w:t>
            </w:r>
            <m:oMath>
              <m:sSub>
                <m:sSubPr>
                  <m:ctrlPr>
                    <w:rPr>
                      <w:rFonts w:ascii="Cambria Math" w:hAnsi="Cambria Math" w:cs="Times"/>
                      <w:i/>
                      <w:color w:val="000000" w:themeColor="text1"/>
                      <w14:textFill>
                        <w14:solidFill>
                          <w14:schemeClr w14:val="tx1"/>
                        </w14:solidFill>
                      </w14:textFill>
                    </w:rPr>
                  </m:ctrlPr>
                </m:sSubPr>
                <m:e>
                  <m:r>
                    <m:rPr/>
                    <w:rPr>
                      <w:rFonts w:ascii="Cambria Math" w:hAnsi="Cambria Math" w:cs="Times"/>
                      <w:color w:val="000000" w:themeColor="text1"/>
                      <w14:textFill>
                        <w14:solidFill>
                          <w14:schemeClr w14:val="tx1"/>
                        </w14:solidFill>
                      </w14:textFill>
                    </w:rPr>
                    <m:t>n</m:t>
                  </m:r>
                  <m:ctrlPr>
                    <w:rPr>
                      <w:rFonts w:ascii="Cambria Math" w:hAnsi="Cambria Math" w:cs="Times"/>
                      <w:i/>
                      <w:color w:val="000000" w:themeColor="text1"/>
                      <w14:textFill>
                        <w14:solidFill>
                          <w14:schemeClr w14:val="tx1"/>
                        </w14:solidFill>
                      </w14:textFill>
                    </w:rPr>
                  </m:ctrlPr>
                </m:e>
                <m:sub>
                  <m:r>
                    <m:rPr/>
                    <w:rPr>
                      <w:rFonts w:ascii="Cambria Math" w:hAnsi="Cambria Math" w:cs="Times"/>
                      <w:color w:val="000000" w:themeColor="text1"/>
                      <w14:textFill>
                        <w14:solidFill>
                          <w14:schemeClr w14:val="tx1"/>
                        </w14:solidFill>
                      </w14:textFill>
                    </w:rPr>
                    <m:t>3</m:t>
                  </m:r>
                  <m:ctrlPr>
                    <w:rPr>
                      <w:rFonts w:ascii="Cambria Math" w:hAnsi="Cambria Math" w:cs="Times"/>
                      <w:i/>
                      <w:color w:val="000000" w:themeColor="text1"/>
                      <w14:textFill>
                        <w14:solidFill>
                          <w14:schemeClr w14:val="tx1"/>
                        </w14:solidFill>
                      </w14:textFill>
                    </w:rPr>
                  </m:ctrlPr>
                </m:sub>
              </m:sSub>
              <m:r>
                <m:rPr>
                  <m:sty m:val="p"/>
                </m:rPr>
                <w:rPr>
                  <w:rFonts w:ascii="Cambria Math" w:hAnsi="Cambria Math" w:cs="Times"/>
                  <w:color w:val="000000" w:themeColor="text1"/>
                  <w14:textFill>
                    <w14:solidFill>
                      <w14:schemeClr w14:val="tx1"/>
                    </w14:solidFill>
                  </w14:textFill>
                </w:rPr>
                <m:t>∈{1,…,</m:t>
              </m:r>
              <m:sSub>
                <m:sSubPr>
                  <m:ctrlPr>
                    <w:rPr>
                      <w:rFonts w:ascii="Cambria Math" w:hAnsi="Cambria Math" w:cs="Times"/>
                      <w:i/>
                      <w:color w:val="000000" w:themeColor="text1"/>
                      <w14:textFill>
                        <w14:solidFill>
                          <w14:schemeClr w14:val="tx1"/>
                        </w14:solidFill>
                      </w14:textFill>
                    </w:rPr>
                  </m:ctrlPr>
                </m:sSubPr>
                <m:e>
                  <m:r>
                    <m:rPr/>
                    <w:rPr>
                      <w:rFonts w:ascii="Cambria Math" w:hAnsi="Cambria Math" w:cs="Times"/>
                      <w:color w:val="000000" w:themeColor="text1"/>
                      <w14:textFill>
                        <w14:solidFill>
                          <w14:schemeClr w14:val="tx1"/>
                        </w14:solidFill>
                      </w14:textFill>
                    </w:rPr>
                    <m:t>N</m:t>
                  </m:r>
                  <m:ctrlPr>
                    <w:rPr>
                      <w:rFonts w:ascii="Cambria Math" w:hAnsi="Cambria Math" w:cs="Times"/>
                      <w:color w:val="000000" w:themeColor="text1"/>
                      <w14:textFill>
                        <w14:solidFill>
                          <w14:schemeClr w14:val="tx1"/>
                        </w14:solidFill>
                      </w14:textFill>
                    </w:rPr>
                  </m:ctrlPr>
                </m:e>
                <m:sub>
                  <m:r>
                    <m:rPr/>
                    <w:rPr>
                      <w:rFonts w:ascii="Cambria Math" w:hAnsi="Cambria Math" w:cs="Times"/>
                      <w:color w:val="000000" w:themeColor="text1"/>
                      <w14:textFill>
                        <w14:solidFill>
                          <w14:schemeClr w14:val="tx1"/>
                        </w14:solidFill>
                      </w14:textFill>
                    </w:rPr>
                    <m:t>3</m:t>
                  </m:r>
                  <m:ctrlPr>
                    <w:rPr>
                      <w:rFonts w:ascii="Cambria Math" w:hAnsi="Cambria Math" w:cs="Times"/>
                      <w:i/>
                      <w:color w:val="000000" w:themeColor="text1"/>
                      <w14:textFill>
                        <w14:solidFill>
                          <w14:schemeClr w14:val="tx1"/>
                        </w14:solidFill>
                      </w14:textFill>
                    </w:rPr>
                  </m:ctrlPr>
                </m:sub>
              </m:sSub>
              <m:r>
                <m:rPr/>
                <w:rPr>
                  <w:rFonts w:ascii="Cambria Math" w:hAnsi="Cambria Math" w:cs="Times"/>
                  <w:color w:val="000000" w:themeColor="text1"/>
                  <w14:textFill>
                    <w14:solidFill>
                      <w14:schemeClr w14:val="tx1"/>
                    </w14:solidFill>
                  </w14:textFill>
                </w:rPr>
                <m:t>}</m:t>
              </m:r>
            </m:oMath>
            <w:r>
              <w:rPr>
                <w:rFonts w:hint="eastAsia" w:cs="Times"/>
                <w:color w:val="000000" w:themeColor="text1"/>
                <w:lang w:eastAsia="ko-KR"/>
                <w14:textFill>
                  <w14:solidFill>
                    <w14:schemeClr w14:val="tx1"/>
                  </w14:solidFill>
                </w14:textFill>
              </w:rPr>
              <w:t>,</w:t>
            </w:r>
            <w:r>
              <w:rPr>
                <w:rFonts w:cs="Times"/>
                <w:color w:val="000000" w:themeColor="text1"/>
                <w:lang w:eastAsia="ko-KR"/>
                <w14:textFill>
                  <w14:solidFill>
                    <w14:schemeClr w14:val="tx1"/>
                  </w14:solidFill>
                </w14:textFill>
              </w:rPr>
              <w:t xml:space="preserve"> </w:t>
            </w:r>
            <w:r>
              <w:rPr>
                <w:rFonts w:cs="Times"/>
                <w:color w:val="000000" w:themeColor="text1"/>
                <w14:textFill>
                  <w14:solidFill>
                    <w14:schemeClr w14:val="tx1"/>
                  </w14:solidFill>
                </w14:textFill>
              </w:rPr>
              <w:t xml:space="preserve"> and prediction instance </w:t>
            </w:r>
            <m:oMath>
              <m:sSub>
                <m:sSubPr>
                  <m:ctrlPr>
                    <w:rPr>
                      <w:rFonts w:ascii="Cambria Math" w:hAnsi="Cambria Math" w:cs="Times"/>
                      <w:color w:val="000000" w:themeColor="text1"/>
                      <w14:textFill>
                        <w14:solidFill>
                          <w14:schemeClr w14:val="tx1"/>
                        </w14:solidFill>
                      </w14:textFill>
                    </w:rPr>
                  </m:ctrlPr>
                </m:sSubPr>
                <m:e>
                  <m:r>
                    <m:rPr/>
                    <w:rPr>
                      <w:rFonts w:ascii="Cambria Math" w:hAnsi="Cambria Math" w:cs="Times"/>
                      <w:color w:val="000000" w:themeColor="text1"/>
                      <w14:textFill>
                        <w14:solidFill>
                          <w14:schemeClr w14:val="tx1"/>
                        </w14:solidFill>
                      </w14:textFill>
                    </w:rPr>
                    <m:t>n</m:t>
                  </m:r>
                  <m:ctrlPr>
                    <w:rPr>
                      <w:rFonts w:ascii="Cambria Math" w:hAnsi="Cambria Math" w:cs="Times"/>
                      <w:color w:val="000000" w:themeColor="text1"/>
                      <w14:textFill>
                        <w14:solidFill>
                          <w14:schemeClr w14:val="tx1"/>
                        </w14:solidFill>
                      </w14:textFill>
                    </w:rPr>
                  </m:ctrlPr>
                </m:e>
                <m:sub>
                  <m:r>
                    <m:rPr>
                      <m:sty m:val="p"/>
                    </m:rPr>
                    <w:rPr>
                      <w:rFonts w:ascii="Cambria Math" w:hAnsi="Cambria Math" w:cs="Times"/>
                      <w:color w:val="000000" w:themeColor="text1"/>
                      <w14:textFill>
                        <w14:solidFill>
                          <w14:schemeClr w14:val="tx1"/>
                        </w14:solidFill>
                      </w14:textFill>
                    </w:rPr>
                    <m:t>4</m:t>
                  </m:r>
                  <m:ctrlPr>
                    <w:rPr>
                      <w:rFonts w:ascii="Cambria Math" w:hAnsi="Cambria Math" w:cs="Times"/>
                      <w:color w:val="000000" w:themeColor="text1"/>
                      <w14:textFill>
                        <w14:solidFill>
                          <w14:schemeClr w14:val="tx1"/>
                        </w14:solidFill>
                      </w14:textFill>
                    </w:rPr>
                  </m:ctrlPr>
                </m:sub>
              </m:sSub>
              <m:r>
                <m:rPr>
                  <m:sty m:val="p"/>
                </m:rPr>
                <w:rPr>
                  <w:rFonts w:ascii="Cambria Math" w:hAnsi="Cambria Math" w:cs="Times"/>
                  <w:color w:val="000000" w:themeColor="text1"/>
                  <w14:textFill>
                    <w14:solidFill>
                      <w14:schemeClr w14:val="tx1"/>
                    </w14:solidFill>
                  </w14:textFill>
                </w:rPr>
                <m:t>∈</m:t>
              </m:r>
              <m:d>
                <m:dPr>
                  <m:begChr m:val="{"/>
                  <m:endChr m:val="}"/>
                  <m:ctrlPr>
                    <w:rPr>
                      <w:rFonts w:ascii="Cambria Math" w:hAnsi="Cambria Math" w:cs="Times"/>
                      <w:color w:val="000000" w:themeColor="text1"/>
                      <w14:textFill>
                        <w14:solidFill>
                          <w14:schemeClr w14:val="tx1"/>
                        </w14:solidFill>
                      </w14:textFill>
                    </w:rPr>
                  </m:ctrlPr>
                </m:dPr>
                <m:e>
                  <m:r>
                    <m:rPr>
                      <m:sty m:val="p"/>
                    </m:rPr>
                    <w:rPr>
                      <w:rFonts w:ascii="Cambria Math" w:hAnsi="Cambria Math" w:cs="Times"/>
                      <w:color w:val="000000" w:themeColor="text1"/>
                      <w14:textFill>
                        <w14:solidFill>
                          <w14:schemeClr w14:val="tx1"/>
                        </w14:solidFill>
                      </w14:textFill>
                    </w:rPr>
                    <m:t>1,…,</m:t>
                  </m:r>
                  <m:sSub>
                    <m:sSubPr>
                      <m:ctrlPr>
                        <w:rPr>
                          <w:rFonts w:ascii="Cambria Math" w:hAnsi="Cambria Math" w:cs="Times"/>
                          <w:color w:val="000000" w:themeColor="text1"/>
                          <w14:textFill>
                            <w14:solidFill>
                              <w14:schemeClr w14:val="tx1"/>
                            </w14:solidFill>
                          </w14:textFill>
                        </w:rPr>
                      </m:ctrlPr>
                    </m:sSubPr>
                    <m:e>
                      <m:r>
                        <m:rPr/>
                        <w:rPr>
                          <w:rFonts w:ascii="Cambria Math" w:hAnsi="Cambria Math" w:cs="Times"/>
                          <w:color w:val="000000" w:themeColor="text1"/>
                          <w14:textFill>
                            <w14:solidFill>
                              <w14:schemeClr w14:val="tx1"/>
                            </w14:solidFill>
                          </w14:textFill>
                        </w:rPr>
                        <m:t>N</m:t>
                      </m:r>
                      <m:ctrlPr>
                        <w:rPr>
                          <w:rFonts w:ascii="Cambria Math" w:hAnsi="Cambria Math" w:cs="Times"/>
                          <w:color w:val="000000" w:themeColor="text1"/>
                          <w14:textFill>
                            <w14:solidFill>
                              <w14:schemeClr w14:val="tx1"/>
                            </w14:solidFill>
                          </w14:textFill>
                        </w:rPr>
                      </m:ctrlPr>
                    </m:e>
                    <m:sub>
                      <m:r>
                        <m:rPr>
                          <m:sty m:val="p"/>
                        </m:rPr>
                        <w:rPr>
                          <w:rFonts w:ascii="Cambria Math" w:hAnsi="Cambria Math" w:cs="Times"/>
                          <w:color w:val="000000" w:themeColor="text1"/>
                          <w14:textFill>
                            <w14:solidFill>
                              <w14:schemeClr w14:val="tx1"/>
                            </w14:solidFill>
                          </w14:textFill>
                        </w:rPr>
                        <m:t>4</m:t>
                      </m:r>
                      <m:ctrlPr>
                        <w:rPr>
                          <w:rFonts w:ascii="Cambria Math" w:hAnsi="Cambria Math" w:cs="Times"/>
                          <w:color w:val="000000" w:themeColor="text1"/>
                          <w14:textFill>
                            <w14:solidFill>
                              <w14:schemeClr w14:val="tx1"/>
                            </w14:solidFill>
                          </w14:textFill>
                        </w:rPr>
                      </m:ctrlPr>
                    </m:sub>
                  </m:sSub>
                  <m:ctrlPr>
                    <w:rPr>
                      <w:rFonts w:ascii="Cambria Math" w:hAnsi="Cambria Math" w:cs="Times"/>
                      <w:color w:val="000000" w:themeColor="text1"/>
                      <w14:textFill>
                        <w14:solidFill>
                          <w14:schemeClr w14:val="tx1"/>
                        </w14:solidFill>
                      </w14:textFill>
                    </w:rPr>
                  </m:ctrlPr>
                </m:e>
              </m:d>
            </m:oMath>
            <w:r>
              <w:rPr>
                <w:rFonts w:cs="Times"/>
                <w:color w:val="000000" w:themeColor="text1"/>
                <w14:textFill>
                  <w14:solidFill>
                    <w14:schemeClr w14:val="tx1"/>
                  </w14:solidFill>
                </w14:textFill>
              </w:rPr>
              <w:t xml:space="preserve">, </w:t>
            </w:r>
            <w:r>
              <w:rPr>
                <w:color w:val="000000" w:themeColor="text1"/>
                <w:lang w:eastAsia="ko-KR"/>
                <w14:textFill>
                  <w14:solidFill>
                    <w14:schemeClr w14:val="tx1"/>
                  </w14:solidFill>
                </w14:textFill>
              </w:rPr>
              <w:t xml:space="preserve">SGCS is defined as </w:t>
            </w:r>
          </w:p>
          <w:p>
            <w:pPr>
              <w:spacing w:before="120" w:after="0" w:line="240" w:lineRule="auto"/>
              <w:ind w:left="360"/>
              <w:rPr>
                <w:rFonts w:ascii="Arial" w:hAnsi="Arial" w:cs="Arial"/>
                <w:color w:val="000000" w:themeColor="text1"/>
                <w14:textFill>
                  <w14:solidFill>
                    <w14:schemeClr w14:val="tx1"/>
                  </w14:solidFill>
                </w14:textFill>
              </w:rPr>
            </w:pPr>
            <m:oMathPara>
              <m:oMath>
                <m:r>
                  <m:rPr/>
                  <w:rPr>
                    <w:rFonts w:ascii="Cambria Math" w:hAnsi="Cambria Math" w:cs="Arial"/>
                    <w:color w:val="000000" w:themeColor="text1"/>
                    <w14:textFill>
                      <w14:solidFill>
                        <w14:schemeClr w14:val="tx1"/>
                      </w14:solidFill>
                    </w14:textFill>
                  </w:rPr>
                  <m:t>SGC</m:t>
                </m:r>
                <m:sSubSup>
                  <m:sSubSupPr>
                    <m:ctrlPr>
                      <w:rPr>
                        <w:rFonts w:ascii="Cambria Math" w:hAnsi="Cambria Math" w:cs="Arial"/>
                        <w:i/>
                        <w:color w:val="000000" w:themeColor="text1"/>
                        <w14:textFill>
                          <w14:solidFill>
                            <w14:schemeClr w14:val="tx1"/>
                          </w14:solidFill>
                        </w14:textFill>
                      </w:rPr>
                    </m:ctrlPr>
                  </m:sSubSupPr>
                  <m:e>
                    <m:r>
                      <m:rPr/>
                      <w:rPr>
                        <w:rFonts w:ascii="Cambria Math" w:hAnsi="Cambria Math" w:cs="Arial"/>
                        <w:color w:val="000000" w:themeColor="text1"/>
                        <w14:textFill>
                          <w14:solidFill>
                            <w14:schemeClr w14:val="tx1"/>
                          </w14:solidFill>
                        </w14:textFill>
                      </w:rPr>
                      <m:t>S</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14:textFill>
                          <w14:solidFill>
                            <w14:schemeClr w14:val="tx1"/>
                          </w14:solidFill>
                        </w14:textFill>
                      </w:rPr>
                    </m:ctrlPr>
                  </m:sub>
                  <m:sup>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p>
                </m:sSubSup>
                <m:r>
                  <m:rPr/>
                  <w:rPr>
                    <w:rFonts w:ascii="Cambria Math" w:hAnsi="Cambria Math" w:cs="Arial"/>
                    <w:color w:val="000000" w:themeColor="text1"/>
                    <w14:textFill>
                      <w14:solidFill>
                        <w14:schemeClr w14:val="tx1"/>
                      </w14:solidFill>
                    </w14:textFill>
                  </w:rPr>
                  <m:t>=</m:t>
                </m:r>
                <m:sSup>
                  <m:sSupPr>
                    <m:ctrlPr>
                      <w:rPr>
                        <w:rFonts w:ascii="Cambria Math" w:hAnsi="Cambria Math" w:cs="Arial"/>
                        <w:i/>
                        <w:color w:val="000000" w:themeColor="text1"/>
                        <w14:textFill>
                          <w14:solidFill>
                            <w14:schemeClr w14:val="tx1"/>
                          </w14:solidFill>
                        </w14:textFill>
                      </w:rPr>
                    </m:ctrlPr>
                  </m:sSupPr>
                  <m:e>
                    <m:d>
                      <m:dPr>
                        <m:ctrlPr>
                          <w:rPr>
                            <w:rFonts w:ascii="Cambria Math" w:hAnsi="Cambria Math" w:cs="Arial"/>
                            <w:i/>
                            <w:color w:val="000000" w:themeColor="text1"/>
                            <w14:textFill>
                              <w14:solidFill>
                                <w14:schemeClr w14:val="tx1"/>
                              </w14:solidFill>
                            </w14:textFill>
                          </w:rPr>
                        </m:ctrlPr>
                      </m:dPr>
                      <m:e>
                        <m:f>
                          <m:fPr>
                            <m:ctrlPr>
                              <w:rPr>
                                <w:rFonts w:ascii="Cambria Math" w:hAnsi="Cambria Math" w:cs="Arial"/>
                                <w:i/>
                                <w:color w:val="000000" w:themeColor="text1"/>
                                <w14:textFill>
                                  <w14:solidFill>
                                    <w14:schemeClr w14:val="tx1"/>
                                  </w14:solidFill>
                                </w14:textFill>
                              </w:rPr>
                            </m:ctrlPr>
                          </m:fPr>
                          <m:num>
                            <m:d>
                              <m:dPr>
                                <m:begChr m:val="‖"/>
                                <m:endChr m:val="‖"/>
                                <m:ctrlPr>
                                  <w:rPr>
                                    <w:rFonts w:ascii="Cambria Math" w:hAnsi="Cambria Math" w:cs="Arial"/>
                                    <w:i/>
                                    <w:color w:val="000000" w:themeColor="text1"/>
                                    <w14:textFill>
                                      <w14:solidFill>
                                        <w14:schemeClr w14:val="tx1"/>
                                      </w14:solidFill>
                                    </w14:textFill>
                                  </w:rPr>
                                </m:ctrlPr>
                              </m:dPr>
                              <m:e>
                                <m:sSup>
                                  <m:sSupPr>
                                    <m:ctrlPr>
                                      <w:rPr>
                                        <w:rFonts w:ascii="Cambria Math" w:hAnsi="Cambria Math" w:cs="Arial"/>
                                        <w:i/>
                                        <w:color w:val="000000" w:themeColor="text1"/>
                                        <w14:textFill>
                                          <w14:solidFill>
                                            <w14:schemeClr w14:val="tx1"/>
                                          </w14:solidFill>
                                        </w14:textFill>
                                      </w:rPr>
                                    </m:ctrlPr>
                                  </m:sSupPr>
                                  <m:e>
                                    <m:sSubSup>
                                      <m:sSubSupPr>
                                        <m:ctrlPr>
                                          <w:rPr>
                                            <w:rFonts w:ascii="Cambria Math" w:hAnsi="Cambria Math" w:cs="Arial"/>
                                            <w:i/>
                                            <w:color w:val="000000" w:themeColor="text1"/>
                                            <w14:textFill>
                                              <w14:solidFill>
                                                <w14:schemeClr w14:val="tx1"/>
                                              </w14:solidFill>
                                            </w14:textFill>
                                          </w:rPr>
                                        </m:ctrlPr>
                                      </m:sSubSupPr>
                                      <m:e>
                                        <m:acc>
                                          <m:accPr>
                                            <m:chr m:val="̃"/>
                                            <m:ctrlPr>
                                              <w:rPr>
                                                <w:rFonts w:ascii="Cambria Math" w:hAnsi="Cambria Math" w:cs="Arial"/>
                                                <w:b/>
                                                <w:i/>
                                                <w:color w:val="000000" w:themeColor="text1"/>
                                                <w14:textFill>
                                                  <w14:solidFill>
                                                    <w14:schemeClr w14:val="tx1"/>
                                                  </w14:solidFill>
                                                </w14:textFill>
                                              </w:rPr>
                                            </m:ctrlPr>
                                          </m:accPr>
                                          <m:e>
                                            <m:r>
                                              <m:rPr>
                                                <m:sty m:val="bi"/>
                                              </m:rPr>
                                              <w:rPr>
                                                <w:rFonts w:ascii="Cambria Math" w:hAnsi="Cambria Math" w:cs="Arial"/>
                                                <w:color w:val="000000" w:themeColor="text1"/>
                                                <w14:textFill>
                                                  <w14:solidFill>
                                                    <w14:schemeClr w14:val="tx1"/>
                                                  </w14:solidFill>
                                                </w14:textFill>
                                              </w:rPr>
                                              <m:t>w</m:t>
                                            </m:r>
                                            <m:ctrlPr>
                                              <w:rPr>
                                                <w:rFonts w:ascii="Cambria Math" w:hAnsi="Cambria Math" w:cs="Arial"/>
                                                <w:b/>
                                                <w:i/>
                                                <w:color w:val="000000" w:themeColor="text1"/>
                                                <w14:textFill>
                                                  <w14:solidFill>
                                                    <w14:schemeClr w14:val="tx1"/>
                                                  </w14:solidFill>
                                                </w14:textFill>
                                              </w:rPr>
                                            </m:ctrlPr>
                                          </m:e>
                                        </m:acc>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14:textFill>
                                              <w14:solidFill>
                                                <w14:schemeClr w14:val="tx1"/>
                                              </w14:solidFill>
                                            </w14:textFill>
                                          </w:rPr>
                                        </m:ctrlPr>
                                      </m:sub>
                                      <m:sup>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p>
                                    </m:sSubSup>
                                    <m:ctrlPr>
                                      <w:rPr>
                                        <w:rFonts w:ascii="Cambria Math" w:hAnsi="Cambria Math" w:cs="Arial"/>
                                        <w:i/>
                                        <w:color w:val="000000" w:themeColor="text1"/>
                                        <w14:textFill>
                                          <w14:solidFill>
                                            <w14:schemeClr w14:val="tx1"/>
                                          </w14:solidFill>
                                        </w14:textFill>
                                      </w:rPr>
                                    </m:ctrlPr>
                                  </m:e>
                                  <m:sup>
                                    <m:r>
                                      <m:rPr/>
                                      <w:rPr>
                                        <w:rFonts w:ascii="Cambria Math" w:hAnsi="Cambria Math" w:cs="Arial"/>
                                        <w:color w:val="000000" w:themeColor="text1"/>
                                        <w14:textFill>
                                          <w14:solidFill>
                                            <w14:schemeClr w14:val="tx1"/>
                                          </w14:solidFill>
                                        </w14:textFill>
                                      </w:rPr>
                                      <m:t>H</m:t>
                                    </m:r>
                                    <m:ctrlPr>
                                      <w:rPr>
                                        <w:rFonts w:ascii="Cambria Math" w:hAnsi="Cambria Math" w:cs="Arial"/>
                                        <w:i/>
                                        <w:color w:val="000000" w:themeColor="text1"/>
                                        <w14:textFill>
                                          <w14:solidFill>
                                            <w14:schemeClr w14:val="tx1"/>
                                          </w14:solidFill>
                                        </w14:textFill>
                                      </w:rPr>
                                    </m:ctrlPr>
                                  </m:sup>
                                </m:sSup>
                                <m:sSubSup>
                                  <m:sSubSupPr>
                                    <m:ctrlPr>
                                      <w:rPr>
                                        <w:rFonts w:ascii="Cambria Math" w:hAnsi="Cambria Math" w:cs="Arial"/>
                                        <w:i/>
                                        <w:color w:val="000000" w:themeColor="text1"/>
                                        <w14:textFill>
                                          <w14:solidFill>
                                            <w14:schemeClr w14:val="tx1"/>
                                          </w14:solidFill>
                                        </w14:textFill>
                                      </w:rPr>
                                    </m:ctrlPr>
                                  </m:sSubSupPr>
                                  <m:e>
                                    <m:r>
                                      <m:rPr>
                                        <m:sty m:val="bi"/>
                                      </m:rPr>
                                      <w:rPr>
                                        <w:rFonts w:ascii="Cambria Math" w:hAnsi="Cambria Math" w:cs="Arial"/>
                                        <w:color w:val="000000" w:themeColor="text1"/>
                                        <w14:textFill>
                                          <w14:solidFill>
                                            <w14:schemeClr w14:val="tx1"/>
                                          </w14:solidFill>
                                        </w14:textFill>
                                      </w:rPr>
                                      <m:t>w</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14:textFill>
                                          <w14:solidFill>
                                            <w14:schemeClr w14:val="tx1"/>
                                          </w14:solidFill>
                                        </w14:textFill>
                                      </w:rPr>
                                    </m:ctrlPr>
                                  </m:sub>
                                  <m:sup>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p>
                                </m:sSubSup>
                                <m:ctrlPr>
                                  <w:rPr>
                                    <w:rFonts w:ascii="Cambria Math" w:hAnsi="Cambria Math" w:cs="Arial"/>
                                    <w:i/>
                                    <w:color w:val="000000" w:themeColor="text1"/>
                                    <w14:textFill>
                                      <w14:solidFill>
                                        <w14:schemeClr w14:val="tx1"/>
                                      </w14:solidFill>
                                    </w14:textFill>
                                  </w:rPr>
                                </m:ctrlPr>
                              </m:e>
                            </m:d>
                            <m:ctrlPr>
                              <w:rPr>
                                <w:rFonts w:ascii="Cambria Math" w:hAnsi="Cambria Math" w:cs="Arial"/>
                                <w:i/>
                                <w:color w:val="000000" w:themeColor="text1"/>
                                <w14:textFill>
                                  <w14:solidFill>
                                    <w14:schemeClr w14:val="tx1"/>
                                  </w14:solidFill>
                                </w14:textFill>
                              </w:rPr>
                            </m:ctrlPr>
                          </m:num>
                          <m:den>
                            <m:d>
                              <m:dPr>
                                <m:begChr m:val="‖"/>
                                <m:endChr m:val="‖"/>
                                <m:ctrlPr>
                                  <w:rPr>
                                    <w:rFonts w:ascii="Cambria Math" w:hAnsi="Cambria Math" w:cs="Arial"/>
                                    <w:i/>
                                    <w:color w:val="000000" w:themeColor="text1"/>
                                    <w14:textFill>
                                      <w14:solidFill>
                                        <w14:schemeClr w14:val="tx1"/>
                                      </w14:solidFill>
                                    </w14:textFill>
                                  </w:rPr>
                                </m:ctrlPr>
                              </m:dPr>
                              <m:e>
                                <m:sSubSup>
                                  <m:sSubSupPr>
                                    <m:ctrlPr>
                                      <w:rPr>
                                        <w:rFonts w:ascii="Cambria Math" w:hAnsi="Cambria Math" w:cs="Arial"/>
                                        <w:i/>
                                        <w:color w:val="000000" w:themeColor="text1"/>
                                        <w14:textFill>
                                          <w14:solidFill>
                                            <w14:schemeClr w14:val="tx1"/>
                                          </w14:solidFill>
                                        </w14:textFill>
                                      </w:rPr>
                                    </m:ctrlPr>
                                  </m:sSubSupPr>
                                  <m:e>
                                    <m:acc>
                                      <m:accPr>
                                        <m:chr m:val="̃"/>
                                        <m:ctrlPr>
                                          <w:rPr>
                                            <w:rFonts w:ascii="Cambria Math" w:hAnsi="Cambria Math" w:cs="Arial"/>
                                            <w:b/>
                                            <w:i/>
                                            <w:color w:val="000000" w:themeColor="text1"/>
                                            <w14:textFill>
                                              <w14:solidFill>
                                                <w14:schemeClr w14:val="tx1"/>
                                              </w14:solidFill>
                                            </w14:textFill>
                                          </w:rPr>
                                        </m:ctrlPr>
                                      </m:accPr>
                                      <m:e>
                                        <m:r>
                                          <m:rPr>
                                            <m:sty m:val="bi"/>
                                          </m:rPr>
                                          <w:rPr>
                                            <w:rFonts w:ascii="Cambria Math" w:hAnsi="Cambria Math" w:cs="Arial"/>
                                            <w:color w:val="000000" w:themeColor="text1"/>
                                            <w14:textFill>
                                              <w14:solidFill>
                                                <w14:schemeClr w14:val="tx1"/>
                                              </w14:solidFill>
                                            </w14:textFill>
                                          </w:rPr>
                                          <m:t>w</m:t>
                                        </m:r>
                                        <m:ctrlPr>
                                          <w:rPr>
                                            <w:rFonts w:ascii="Cambria Math" w:hAnsi="Cambria Math" w:cs="Arial"/>
                                            <w:b/>
                                            <w:i/>
                                            <w:color w:val="000000" w:themeColor="text1"/>
                                            <w14:textFill>
                                              <w14:solidFill>
                                                <w14:schemeClr w14:val="tx1"/>
                                              </w14:solidFill>
                                            </w14:textFill>
                                          </w:rPr>
                                        </m:ctrlPr>
                                      </m:e>
                                    </m:acc>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14:textFill>
                                          <w14:solidFill>
                                            <w14:schemeClr w14:val="tx1"/>
                                          </w14:solidFill>
                                        </w14:textFill>
                                      </w:rPr>
                                    </m:ctrlPr>
                                  </m:sub>
                                  <m:sup>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p>
                                </m:sSubSup>
                                <m:ctrlPr>
                                  <w:rPr>
                                    <w:rFonts w:ascii="Cambria Math" w:hAnsi="Cambria Math" w:cs="Arial"/>
                                    <w:i/>
                                    <w:color w:val="000000" w:themeColor="text1"/>
                                    <w14:textFill>
                                      <w14:solidFill>
                                        <w14:schemeClr w14:val="tx1"/>
                                      </w14:solidFill>
                                    </w14:textFill>
                                  </w:rPr>
                                </m:ctrlPr>
                              </m:e>
                            </m:d>
                            <m:d>
                              <m:dPr>
                                <m:begChr m:val="‖"/>
                                <m:endChr m:val="‖"/>
                                <m:ctrlPr>
                                  <w:rPr>
                                    <w:rFonts w:ascii="Cambria Math" w:hAnsi="Cambria Math" w:cs="Arial"/>
                                    <w:i/>
                                    <w:color w:val="000000" w:themeColor="text1"/>
                                    <w14:textFill>
                                      <w14:solidFill>
                                        <w14:schemeClr w14:val="tx1"/>
                                      </w14:solidFill>
                                    </w14:textFill>
                                  </w:rPr>
                                </m:ctrlPr>
                              </m:dPr>
                              <m:e>
                                <m:sSubSup>
                                  <m:sSubSupPr>
                                    <m:ctrlPr>
                                      <w:rPr>
                                        <w:rFonts w:ascii="Cambria Math" w:hAnsi="Cambria Math" w:cs="Arial"/>
                                        <w:i/>
                                        <w:color w:val="000000" w:themeColor="text1"/>
                                        <w14:textFill>
                                          <w14:solidFill>
                                            <w14:schemeClr w14:val="tx1"/>
                                          </w14:solidFill>
                                        </w14:textFill>
                                      </w:rPr>
                                    </m:ctrlPr>
                                  </m:sSubSupPr>
                                  <m:e>
                                    <m:r>
                                      <m:rPr>
                                        <m:sty m:val="bi"/>
                                      </m:rPr>
                                      <w:rPr>
                                        <w:rFonts w:ascii="Cambria Math" w:hAnsi="Cambria Math" w:cs="Arial"/>
                                        <w:color w:val="000000" w:themeColor="text1"/>
                                        <w14:textFill>
                                          <w14:solidFill>
                                            <w14:schemeClr w14:val="tx1"/>
                                          </w14:solidFill>
                                        </w14:textFill>
                                      </w:rPr>
                                      <m:t>w</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14:textFill>
                                          <w14:solidFill>
                                            <w14:schemeClr w14:val="tx1"/>
                                          </w14:solidFill>
                                        </w14:textFill>
                                      </w:rPr>
                                    </m:ctrlPr>
                                  </m:sub>
                                  <m:sup>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p>
                                </m:sSubSup>
                                <m:ctrlPr>
                                  <w:rPr>
                                    <w:rFonts w:ascii="Cambria Math" w:hAnsi="Cambria Math" w:cs="Arial"/>
                                    <w:i/>
                                    <w:color w:val="000000" w:themeColor="text1"/>
                                    <w14:textFill>
                                      <w14:solidFill>
                                        <w14:schemeClr w14:val="tx1"/>
                                      </w14:solidFill>
                                    </w14:textFill>
                                  </w:rPr>
                                </m:ctrlPr>
                              </m:e>
                            </m:d>
                            <m:ctrlPr>
                              <w:rPr>
                                <w:rFonts w:ascii="Cambria Math" w:hAnsi="Cambria Math" w:cs="Arial"/>
                                <w:i/>
                                <w:color w:val="000000" w:themeColor="text1"/>
                                <w14:textFill>
                                  <w14:solidFill>
                                    <w14:schemeClr w14:val="tx1"/>
                                  </w14:solidFill>
                                </w14:textFill>
                              </w:rPr>
                            </m:ctrlPr>
                          </m:den>
                        </m:f>
                        <m:ctrlPr>
                          <w:rPr>
                            <w:rFonts w:ascii="Cambria Math" w:hAnsi="Cambria Math" w:cs="Arial"/>
                            <w:i/>
                            <w:color w:val="000000" w:themeColor="text1"/>
                            <w14:textFill>
                              <w14:solidFill>
                                <w14:schemeClr w14:val="tx1"/>
                              </w14:solidFill>
                            </w14:textFill>
                          </w:rPr>
                        </m:ctrlPr>
                      </m:e>
                    </m:d>
                    <m:ctrlPr>
                      <w:rPr>
                        <w:rFonts w:ascii="Cambria Math" w:hAnsi="Cambria Math" w:cs="Arial"/>
                        <w:i/>
                        <w:color w:val="000000" w:themeColor="text1"/>
                        <w14:textFill>
                          <w14:solidFill>
                            <w14:schemeClr w14:val="tx1"/>
                          </w14:solidFill>
                        </w14:textFill>
                      </w:rPr>
                    </m:ctrlPr>
                  </m:e>
                  <m:sup>
                    <m:r>
                      <m:rPr/>
                      <w:rPr>
                        <w:rFonts w:ascii="Cambria Math" w:hAnsi="Cambria Math" w:cs="Arial"/>
                        <w:color w:val="000000" w:themeColor="text1"/>
                        <w14:textFill>
                          <w14:solidFill>
                            <w14:schemeClr w14:val="tx1"/>
                          </w14:solidFill>
                        </w14:textFill>
                      </w:rPr>
                      <m:t>2</m:t>
                    </m:r>
                    <m:ctrlPr>
                      <w:rPr>
                        <w:rFonts w:ascii="Cambria Math" w:hAnsi="Cambria Math" w:cs="Arial"/>
                        <w:i/>
                        <w:color w:val="000000" w:themeColor="text1"/>
                        <w14:textFill>
                          <w14:solidFill>
                            <w14:schemeClr w14:val="tx1"/>
                          </w14:solidFill>
                        </w14:textFill>
                      </w:rPr>
                    </m:ctrlPr>
                  </m:sup>
                </m:sSup>
              </m:oMath>
            </m:oMathPara>
          </w:p>
          <w:p>
            <w:pPr>
              <w:spacing w:before="120" w:after="0" w:line="240" w:lineRule="auto"/>
              <w:ind w:left="800" w:leftChars="400"/>
              <w:rPr>
                <w:rFonts w:eastAsia="等线"/>
                <w:lang w:eastAsia="zh-CN"/>
              </w:rPr>
            </w:pPr>
            <w:r>
              <w:rPr>
                <w:rFonts w:eastAsiaTheme="minorEastAsia"/>
                <w:color w:val="000000" w:themeColor="text1"/>
                <w:lang w:eastAsia="ko-KR"/>
                <w14:textFill>
                  <w14:solidFill>
                    <w14:schemeClr w14:val="tx1"/>
                  </w14:solidFill>
                </w14:textFill>
              </w:rPr>
              <w:t xml:space="preserve">where </w:t>
            </w:r>
            <m:oMath>
              <m:sSubSup>
                <m:sSubSupPr>
                  <m:ctrlPr>
                    <w:rPr>
                      <w:rFonts w:ascii="Cambria Math" w:hAnsi="Cambria Math"/>
                      <w:b/>
                      <w:bCs/>
                      <w:i/>
                      <w:color w:val="000000" w:themeColor="text1"/>
                      <w14:textFill>
                        <w14:solidFill>
                          <w14:schemeClr w14:val="tx1"/>
                        </w14:solidFill>
                      </w14:textFill>
                    </w:rPr>
                  </m:ctrlPr>
                </m:sSubSupPr>
                <m:e>
                  <m:acc>
                    <m:accPr>
                      <m:chr m:val="̃"/>
                      <m:ctrlPr>
                        <w:rPr>
                          <w:rFonts w:ascii="Cambria Math" w:hAnsi="Cambria Math"/>
                          <w:b/>
                          <w:bCs/>
                          <w:i/>
                          <w:color w:val="000000" w:themeColor="text1"/>
                          <w14:textFill>
                            <w14:solidFill>
                              <w14:schemeClr w14:val="tx1"/>
                            </w14:solidFill>
                          </w14:textFill>
                        </w:rPr>
                      </m:ctrlPr>
                    </m:accPr>
                    <m:e>
                      <m:r>
                        <m:rPr>
                          <m:sty m:val="bi"/>
                        </m:rPr>
                        <w:rPr>
                          <w:rFonts w:ascii="Cambria Math" w:hAnsi="Cambria Math"/>
                          <w:color w:val="000000" w:themeColor="text1"/>
                          <w14:textFill>
                            <w14:solidFill>
                              <w14:schemeClr w14:val="tx1"/>
                            </w14:solidFill>
                          </w14:textFill>
                        </w:rPr>
                        <m:t>w</m:t>
                      </m:r>
                      <m:ctrlPr>
                        <w:rPr>
                          <w:rFonts w:ascii="Cambria Math" w:hAnsi="Cambria Math"/>
                          <w:b/>
                          <w:bCs/>
                          <w:i/>
                          <w:color w:val="000000" w:themeColor="text1"/>
                          <w14:textFill>
                            <w14:solidFill>
                              <w14:schemeClr w14:val="tx1"/>
                            </w14:solidFill>
                          </w14:textFill>
                        </w:rPr>
                      </m:ctrlPr>
                    </m:e>
                  </m:acc>
                  <m:ctrlPr>
                    <w:rPr>
                      <w:rFonts w:ascii="Cambria Math" w:hAnsi="Cambria Math"/>
                      <w:b/>
                      <w:bCs/>
                      <w:i/>
                      <w:color w:val="000000" w:themeColor="text1"/>
                      <w14:textFill>
                        <w14:solidFill>
                          <w14:schemeClr w14:val="tx1"/>
                        </w14:solidFill>
                      </w14:textFill>
                    </w:rPr>
                  </m:ctrlPr>
                </m:e>
                <m:sub>
                  <m:sSub>
                    <m:sSubPr>
                      <m:ctrlPr>
                        <w:rPr>
                          <w:rFonts w:ascii="Cambria Math" w:hAnsi="Cambria Math"/>
                          <w:b/>
                          <w:i/>
                          <w:color w:val="000000" w:themeColor="text1"/>
                          <w14:textFill>
                            <w14:solidFill>
                              <w14:schemeClr w14:val="tx1"/>
                            </w14:solidFill>
                          </w14:textFill>
                        </w:rPr>
                      </m:ctrlPr>
                    </m:sSubPr>
                    <m:e>
                      <m:r>
                        <m:rPr>
                          <m:sty m:val="bi"/>
                        </m:rPr>
                        <w:rPr>
                          <w:rFonts w:ascii="Cambria Math" w:hAnsi="Cambria Math"/>
                          <w:color w:val="000000" w:themeColor="text1"/>
                          <w14:textFill>
                            <w14:solidFill>
                              <w14:schemeClr w14:val="tx1"/>
                            </w14:solidFill>
                          </w14:textFill>
                        </w:rPr>
                        <m:t>n</m:t>
                      </m:r>
                      <m:ctrlPr>
                        <w:rPr>
                          <w:rFonts w:ascii="Cambria Math" w:hAnsi="Cambria Math"/>
                          <w:b/>
                          <w:i/>
                          <w:color w:val="000000" w:themeColor="text1"/>
                          <w14:textFill>
                            <w14:solidFill>
                              <w14:schemeClr w14:val="tx1"/>
                            </w14:solidFill>
                          </w14:textFill>
                        </w:rPr>
                      </m:ctrlPr>
                    </m:e>
                    <m:sub>
                      <m:r>
                        <m:rPr>
                          <m:sty m:val="bi"/>
                        </m:rPr>
                        <w:rPr>
                          <w:rFonts w:ascii="Cambria Math" w:hAnsi="Cambria Math"/>
                          <w:color w:val="000000" w:themeColor="text1"/>
                          <w14:textFill>
                            <w14:solidFill>
                              <w14:schemeClr w14:val="tx1"/>
                            </w14:solidFill>
                          </w14:textFill>
                        </w:rPr>
                        <m:t>4</m:t>
                      </m:r>
                      <m:ctrlPr>
                        <w:rPr>
                          <w:rFonts w:ascii="Cambria Math" w:hAnsi="Cambria Math"/>
                          <w:b/>
                          <w:i/>
                          <w:color w:val="000000" w:themeColor="text1"/>
                          <w14:textFill>
                            <w14:solidFill>
                              <w14:schemeClr w14:val="tx1"/>
                            </w14:solidFill>
                          </w14:textFill>
                        </w:rPr>
                      </m:ctrlPr>
                    </m:sub>
                  </m:sSub>
                  <m:r>
                    <m:rPr>
                      <m:sty m:val="bi"/>
                    </m:rPr>
                    <w:rPr>
                      <w:rFonts w:ascii="Cambria Math" w:hAnsi="Cambria Math"/>
                      <w:color w:val="000000" w:themeColor="text1"/>
                      <w14:textFill>
                        <w14:solidFill>
                          <w14:schemeClr w14:val="tx1"/>
                        </w14:solidFill>
                      </w14:textFill>
                    </w:rPr>
                    <m:t>,i</m:t>
                  </m:r>
                  <m:ctrlPr>
                    <w:rPr>
                      <w:rFonts w:ascii="Cambria Math" w:hAnsi="Cambria Math"/>
                      <w:b/>
                      <w:bCs/>
                      <w:i/>
                      <w:color w:val="000000" w:themeColor="text1"/>
                      <w14:textFill>
                        <w14:solidFill>
                          <w14:schemeClr w14:val="tx1"/>
                        </w14:solidFill>
                      </w14:textFill>
                    </w:rPr>
                  </m:ctrlPr>
                </m:sub>
                <m:sup>
                  <m:sSub>
                    <m:sSubPr>
                      <m:ctrlPr>
                        <w:rPr>
                          <w:rFonts w:ascii="Cambria Math" w:hAnsi="Cambria Math"/>
                          <w:b/>
                          <w:i/>
                          <w:color w:val="000000" w:themeColor="text1"/>
                          <w14:textFill>
                            <w14:solidFill>
                              <w14:schemeClr w14:val="tx1"/>
                            </w14:solidFill>
                          </w14:textFill>
                        </w:rPr>
                      </m:ctrlPr>
                    </m:sSubPr>
                    <m:e>
                      <m:r>
                        <m:rPr>
                          <m:sty m:val="bi"/>
                        </m:rPr>
                        <w:rPr>
                          <w:rFonts w:ascii="Cambria Math" w:hAnsi="Cambria Math"/>
                          <w:color w:val="000000" w:themeColor="text1"/>
                          <w14:textFill>
                            <w14:solidFill>
                              <w14:schemeClr w14:val="tx1"/>
                            </w14:solidFill>
                          </w14:textFill>
                        </w:rPr>
                        <m:t>n</m:t>
                      </m:r>
                      <m:ctrlPr>
                        <w:rPr>
                          <w:rFonts w:ascii="Cambria Math" w:hAnsi="Cambria Math"/>
                          <w:b/>
                          <w:i/>
                          <w:color w:val="000000" w:themeColor="text1"/>
                          <w14:textFill>
                            <w14:solidFill>
                              <w14:schemeClr w14:val="tx1"/>
                            </w14:solidFill>
                          </w14:textFill>
                        </w:rPr>
                      </m:ctrlPr>
                    </m:e>
                    <m:sub>
                      <m:r>
                        <m:rPr>
                          <m:sty m:val="bi"/>
                        </m:rPr>
                        <w:rPr>
                          <w:rFonts w:ascii="Cambria Math" w:hAnsi="Cambria Math"/>
                          <w:color w:val="000000" w:themeColor="text1"/>
                          <w14:textFill>
                            <w14:solidFill>
                              <w14:schemeClr w14:val="tx1"/>
                            </w14:solidFill>
                          </w14:textFill>
                        </w:rPr>
                        <m:t>3</m:t>
                      </m:r>
                      <m:ctrlPr>
                        <w:rPr>
                          <w:rFonts w:ascii="Cambria Math" w:hAnsi="Cambria Math"/>
                          <w:b/>
                          <w:i/>
                          <w:color w:val="000000" w:themeColor="text1"/>
                          <w14:textFill>
                            <w14:solidFill>
                              <w14:schemeClr w14:val="tx1"/>
                            </w14:solidFill>
                          </w14:textFill>
                        </w:rPr>
                      </m:ctrlPr>
                    </m:sub>
                  </m:sSub>
                  <m:ctrlPr>
                    <w:rPr>
                      <w:rFonts w:ascii="Cambria Math" w:hAnsi="Cambria Math"/>
                      <w:b/>
                      <w:bCs/>
                      <w:i/>
                      <w:color w:val="000000" w:themeColor="text1"/>
                      <w14:textFill>
                        <w14:solidFill>
                          <w14:schemeClr w14:val="tx1"/>
                        </w14:solidFill>
                      </w14:textFill>
                    </w:rPr>
                  </m:ctrlPr>
                </m:sup>
              </m:sSubSup>
            </m:oMath>
            <w:r>
              <w:rPr>
                <w:rFonts w:eastAsiaTheme="minorEastAsia"/>
                <w:color w:val="000000" w:themeColor="text1"/>
                <w:lang w:eastAsia="ko-KR"/>
                <w14:textFill>
                  <w14:solidFill>
                    <w14:schemeClr w14:val="tx1"/>
                  </w14:solidFill>
                </w14:textFill>
              </w:rPr>
              <w:t xml:space="preserve"> is the predicted </w:t>
            </w:r>
            <w:r>
              <w:rPr>
                <w:rFonts w:hint="eastAsia" w:eastAsiaTheme="minorEastAsia"/>
                <w:color w:val="000000" w:themeColor="text1"/>
                <w:lang w:val="en-US" w:eastAsia="zh-CN"/>
                <w14:textFill>
                  <w14:solidFill>
                    <w14:schemeClr w14:val="tx1"/>
                  </w14:solidFill>
                </w14:textFill>
              </w:rPr>
              <w:t xml:space="preserve">precoder represented by PMI used for inference for </w:t>
            </w:r>
            <w:r>
              <w:rPr>
                <w:rFonts w:hint="eastAsia" w:eastAsiaTheme="minorEastAsia"/>
                <w:i/>
                <w:iCs/>
                <w:color w:val="000000" w:themeColor="text1"/>
                <w:lang w:val="en-US" w:eastAsia="zh-CN"/>
                <w14:textFill>
                  <w14:solidFill>
                    <w14:schemeClr w14:val="tx1"/>
                  </w14:solidFill>
                </w14:textFill>
              </w:rPr>
              <w:t>l</w:t>
            </w:r>
            <w:r>
              <w:rPr>
                <w:rFonts w:eastAsiaTheme="minorEastAsia"/>
                <w:i/>
                <w:color w:val="000000" w:themeColor="text1"/>
                <w:lang w:eastAsia="ko-KR"/>
                <w14:textFill>
                  <w14:solidFill>
                    <w14:schemeClr w14:val="tx1"/>
                  </w14:solidFill>
                </w14:textFill>
              </w:rPr>
              <w:t xml:space="preserve">-th </w:t>
            </w:r>
            <w:r>
              <w:rPr>
                <w:rFonts w:eastAsiaTheme="minorEastAsia"/>
                <w:color w:val="000000" w:themeColor="text1"/>
                <w:lang w:eastAsia="ko-KR"/>
                <w14:textFill>
                  <w14:solidFill>
                    <w14:schemeClr w14:val="tx1"/>
                  </w14:solidFill>
                </w14:textFill>
              </w:rPr>
              <w:t>layer</w:t>
            </w: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eastAsia="ko-KR"/>
                <w14:textFill>
                  <w14:solidFill>
                    <w14:schemeClr w14:val="tx1"/>
                  </w14:solidFill>
                </w14:textFill>
              </w:rPr>
              <w:t xml:space="preserve"> </w:t>
            </w:r>
            <w:r>
              <w:rPr>
                <w:rFonts w:eastAsiaTheme="minorEastAsia"/>
                <w:i/>
                <w:iCs/>
                <w:color w:val="000000" w:themeColor="text1"/>
                <w:lang w:eastAsia="ko-KR"/>
                <w14:textFill>
                  <w14:solidFill>
                    <w14:schemeClr w14:val="tx1"/>
                  </w14:solidFill>
                </w14:textFill>
              </w:rPr>
              <w:t>n</w:t>
            </w:r>
            <w:r>
              <w:rPr>
                <w:rFonts w:eastAsiaTheme="minorEastAsia"/>
                <w:i/>
                <w:iCs/>
                <w:color w:val="000000" w:themeColor="text1"/>
                <w:vertAlign w:val="subscript"/>
                <w:lang w:eastAsia="ko-KR"/>
                <w14:textFill>
                  <w14:solidFill>
                    <w14:schemeClr w14:val="tx1"/>
                  </w14:solidFill>
                </w14:textFill>
              </w:rPr>
              <w:t>3</w:t>
            </w:r>
            <w:r>
              <w:rPr>
                <w:rFonts w:eastAsiaTheme="minorEastAsia"/>
                <w:color w:val="000000" w:themeColor="text1"/>
                <w:lang w:eastAsia="ko-KR"/>
                <w14:textFill>
                  <w14:solidFill>
                    <w14:schemeClr w14:val="tx1"/>
                  </w14:solidFill>
                </w14:textFill>
              </w:rPr>
              <w:t xml:space="preserve">-th subband, </w:t>
            </w:r>
            <w:r>
              <w:rPr>
                <w:rFonts w:eastAsiaTheme="minorEastAsia"/>
                <w:i/>
                <w:iCs/>
                <w:color w:val="000000" w:themeColor="text1"/>
                <w:lang w:eastAsia="ko-KR"/>
                <w14:textFill>
                  <w14:solidFill>
                    <w14:schemeClr w14:val="tx1"/>
                  </w14:solidFill>
                </w14:textFill>
              </w:rPr>
              <w:t>n</w:t>
            </w:r>
            <w:r>
              <w:rPr>
                <w:rFonts w:eastAsiaTheme="minorEastAsia"/>
                <w:i/>
                <w:iCs/>
                <w:color w:val="000000" w:themeColor="text1"/>
                <w:vertAlign w:val="subscript"/>
                <w:lang w:eastAsia="ko-KR"/>
                <w14:textFill>
                  <w14:solidFill>
                    <w14:schemeClr w14:val="tx1"/>
                  </w14:solidFill>
                </w14:textFill>
              </w:rPr>
              <w:t>4</w:t>
            </w:r>
            <w:r>
              <w:rPr>
                <w:rFonts w:eastAsiaTheme="minorEastAsia"/>
                <w:color w:val="000000" w:themeColor="text1"/>
                <w:lang w:eastAsia="ko-KR"/>
                <w14:textFill>
                  <w14:solidFill>
                    <w14:schemeClr w14:val="tx1"/>
                  </w14:solidFill>
                </w14:textFill>
              </w:rPr>
              <w:t xml:space="preserve">-th prediction instance, and </w:t>
            </w:r>
            <m:oMath>
              <m:sSubSup>
                <m:sSubSupPr>
                  <m:ctrlPr>
                    <w:rPr>
                      <w:rFonts w:ascii="Cambria Math" w:hAnsi="Cambria Math"/>
                      <w:b/>
                      <w:bCs/>
                      <w:i/>
                      <w:color w:val="000000" w:themeColor="text1"/>
                      <w14:textFill>
                        <w14:solidFill>
                          <w14:schemeClr w14:val="tx1"/>
                        </w14:solidFill>
                      </w14:textFill>
                    </w:rPr>
                  </m:ctrlPr>
                </m:sSubSupPr>
                <m:e>
                  <m:r>
                    <m:rPr>
                      <m:sty m:val="bi"/>
                    </m:rPr>
                    <w:rPr>
                      <w:rFonts w:ascii="Cambria Math" w:hAnsi="Cambria Math"/>
                      <w:color w:val="000000" w:themeColor="text1"/>
                      <w14:textFill>
                        <w14:solidFill>
                          <w14:schemeClr w14:val="tx1"/>
                        </w14:solidFill>
                      </w14:textFill>
                    </w:rPr>
                    <m:t>w</m:t>
                  </m:r>
                  <m:ctrlPr>
                    <w:rPr>
                      <w:rFonts w:ascii="Cambria Math" w:hAnsi="Cambria Math"/>
                      <w:b/>
                      <w:bCs/>
                      <w:i/>
                      <w:color w:val="000000" w:themeColor="text1"/>
                      <w14:textFill>
                        <w14:solidFill>
                          <w14:schemeClr w14:val="tx1"/>
                        </w14:solidFill>
                      </w14:textFill>
                    </w:rPr>
                  </m:ctrlPr>
                </m:e>
                <m:sub>
                  <m:sSub>
                    <m:sSubPr>
                      <m:ctrlPr>
                        <w:rPr>
                          <w:rFonts w:ascii="Cambria Math" w:hAnsi="Cambria Math"/>
                          <w:b/>
                          <w:i/>
                          <w:color w:val="000000" w:themeColor="text1"/>
                          <w14:textFill>
                            <w14:solidFill>
                              <w14:schemeClr w14:val="tx1"/>
                            </w14:solidFill>
                          </w14:textFill>
                        </w:rPr>
                      </m:ctrlPr>
                    </m:sSubPr>
                    <m:e>
                      <m:r>
                        <m:rPr>
                          <m:sty m:val="bi"/>
                        </m:rPr>
                        <w:rPr>
                          <w:rFonts w:ascii="Cambria Math" w:hAnsi="Cambria Math"/>
                          <w:color w:val="000000" w:themeColor="text1"/>
                          <w14:textFill>
                            <w14:solidFill>
                              <w14:schemeClr w14:val="tx1"/>
                            </w14:solidFill>
                          </w14:textFill>
                        </w:rPr>
                        <m:t>n</m:t>
                      </m:r>
                      <m:ctrlPr>
                        <w:rPr>
                          <w:rFonts w:ascii="Cambria Math" w:hAnsi="Cambria Math"/>
                          <w:b/>
                          <w:i/>
                          <w:color w:val="000000" w:themeColor="text1"/>
                          <w14:textFill>
                            <w14:solidFill>
                              <w14:schemeClr w14:val="tx1"/>
                            </w14:solidFill>
                          </w14:textFill>
                        </w:rPr>
                      </m:ctrlPr>
                    </m:e>
                    <m:sub>
                      <m:r>
                        <m:rPr>
                          <m:sty m:val="bi"/>
                        </m:rPr>
                        <w:rPr>
                          <w:rFonts w:ascii="Cambria Math" w:hAnsi="Cambria Math"/>
                          <w:color w:val="000000" w:themeColor="text1"/>
                          <w14:textFill>
                            <w14:solidFill>
                              <w14:schemeClr w14:val="tx1"/>
                            </w14:solidFill>
                          </w14:textFill>
                        </w:rPr>
                        <m:t>4</m:t>
                      </m:r>
                      <m:ctrlPr>
                        <w:rPr>
                          <w:rFonts w:ascii="Cambria Math" w:hAnsi="Cambria Math"/>
                          <w:b/>
                          <w:i/>
                          <w:color w:val="000000" w:themeColor="text1"/>
                          <w14:textFill>
                            <w14:solidFill>
                              <w14:schemeClr w14:val="tx1"/>
                            </w14:solidFill>
                          </w14:textFill>
                        </w:rPr>
                      </m:ctrlPr>
                    </m:sub>
                  </m:sSub>
                  <m:r>
                    <m:rPr>
                      <m:sty m:val="bi"/>
                    </m:rPr>
                    <w:rPr>
                      <w:rFonts w:ascii="Cambria Math" w:hAnsi="Cambria Math"/>
                      <w:color w:val="000000" w:themeColor="text1"/>
                      <w14:textFill>
                        <w14:solidFill>
                          <w14:schemeClr w14:val="tx1"/>
                        </w14:solidFill>
                      </w14:textFill>
                    </w:rPr>
                    <m:t>,i</m:t>
                  </m:r>
                  <m:ctrlPr>
                    <w:rPr>
                      <w:rFonts w:ascii="Cambria Math" w:hAnsi="Cambria Math"/>
                      <w:b/>
                      <w:bCs/>
                      <w:i/>
                      <w:color w:val="000000" w:themeColor="text1"/>
                      <w14:textFill>
                        <w14:solidFill>
                          <w14:schemeClr w14:val="tx1"/>
                        </w14:solidFill>
                      </w14:textFill>
                    </w:rPr>
                  </m:ctrlPr>
                </m:sub>
                <m:sup>
                  <m:sSub>
                    <m:sSubPr>
                      <m:ctrlPr>
                        <w:rPr>
                          <w:rFonts w:ascii="Cambria Math" w:hAnsi="Cambria Math"/>
                          <w:b/>
                          <w:bCs/>
                          <w:i/>
                          <w:color w:val="000000" w:themeColor="text1"/>
                          <w14:textFill>
                            <w14:solidFill>
                              <w14:schemeClr w14:val="tx1"/>
                            </w14:solidFill>
                          </w14:textFill>
                        </w:rPr>
                      </m:ctrlPr>
                    </m:sSubPr>
                    <m:e>
                      <m:r>
                        <m:rPr>
                          <m:sty m:val="bi"/>
                        </m:rPr>
                        <w:rPr>
                          <w:rFonts w:ascii="Cambria Math" w:hAnsi="Cambria Math"/>
                          <w:color w:val="000000" w:themeColor="text1"/>
                          <w14:textFill>
                            <w14:solidFill>
                              <w14:schemeClr w14:val="tx1"/>
                            </w14:solidFill>
                          </w14:textFill>
                        </w:rPr>
                        <m:t>n</m:t>
                      </m:r>
                      <m:ctrlPr>
                        <w:rPr>
                          <w:rFonts w:ascii="Cambria Math" w:hAnsi="Cambria Math"/>
                          <w:b/>
                          <w:bCs/>
                          <w:i/>
                          <w:color w:val="000000" w:themeColor="text1"/>
                          <w14:textFill>
                            <w14:solidFill>
                              <w14:schemeClr w14:val="tx1"/>
                            </w14:solidFill>
                          </w14:textFill>
                        </w:rPr>
                      </m:ctrlPr>
                    </m:e>
                    <m:sub>
                      <m:r>
                        <m:rPr>
                          <m:sty m:val="bi"/>
                        </m:rPr>
                        <w:rPr>
                          <w:rFonts w:ascii="Cambria Math" w:hAnsi="Cambria Math"/>
                          <w:color w:val="000000" w:themeColor="text1"/>
                          <w14:textFill>
                            <w14:solidFill>
                              <w14:schemeClr w14:val="tx1"/>
                            </w14:solidFill>
                          </w14:textFill>
                        </w:rPr>
                        <m:t>3</m:t>
                      </m:r>
                      <m:ctrlPr>
                        <w:rPr>
                          <w:rFonts w:ascii="Cambria Math" w:hAnsi="Cambria Math"/>
                          <w:b/>
                          <w:bCs/>
                          <w:i/>
                          <w:color w:val="000000" w:themeColor="text1"/>
                          <w14:textFill>
                            <w14:solidFill>
                              <w14:schemeClr w14:val="tx1"/>
                            </w14:solidFill>
                          </w14:textFill>
                        </w:rPr>
                      </m:ctrlPr>
                    </m:sub>
                  </m:sSub>
                  <m:ctrlPr>
                    <w:rPr>
                      <w:rFonts w:ascii="Cambria Math" w:hAnsi="Cambria Math"/>
                      <w:b/>
                      <w:bCs/>
                      <w:i/>
                      <w:color w:val="000000" w:themeColor="text1"/>
                      <w14:textFill>
                        <w14:solidFill>
                          <w14:schemeClr w14:val="tx1"/>
                        </w14:solidFill>
                      </w14:textFill>
                    </w:rPr>
                  </m:ctrlPr>
                </m:sup>
              </m:sSubSup>
            </m:oMath>
            <w:r>
              <w:rPr>
                <w:rFonts w:eastAsiaTheme="minorEastAsia"/>
                <w:color w:val="000000" w:themeColor="text1"/>
                <w:lang w:eastAsia="ko-KR"/>
                <w14:textFill>
                  <w14:solidFill>
                    <w14:schemeClr w14:val="tx1"/>
                  </w14:solidFill>
                </w14:textFill>
              </w:rPr>
              <w:t xml:space="preserve"> is the </w:t>
            </w:r>
            <w:r>
              <w:rPr>
                <w:rFonts w:hint="eastAsia" w:eastAsiaTheme="minorEastAsia"/>
                <w:color w:val="000000" w:themeColor="text1"/>
                <w:lang w:val="en-US" w:eastAsia="zh-CN"/>
                <w14:textFill>
                  <w14:solidFill>
                    <w14:schemeClr w14:val="tx1"/>
                  </w14:solidFill>
                </w14:textFill>
              </w:rPr>
              <w:t>precoder represented by PMI used for</w:t>
            </w:r>
            <w:r>
              <w:rPr>
                <w:rFonts w:eastAsiaTheme="minorEastAsia"/>
                <w:color w:val="000000" w:themeColor="text1"/>
                <w:lang w:eastAsia="ko-KR"/>
                <w14:textFill>
                  <w14:solidFill>
                    <w14:schemeClr w14:val="tx1"/>
                  </w14:solidFill>
                </w14:textFill>
              </w:rPr>
              <w:t xml:space="preserve"> ground-truth </w:t>
            </w:r>
            <w:r>
              <w:rPr>
                <w:rFonts w:hint="eastAsia" w:eastAsiaTheme="minorEastAsia"/>
                <w:color w:val="000000" w:themeColor="text1"/>
                <w:lang w:val="en-US" w:eastAsia="zh-CN"/>
                <w14:textFill>
                  <w14:solidFill>
                    <w14:schemeClr w14:val="tx1"/>
                  </w14:solidFill>
                </w14:textFill>
              </w:rPr>
              <w:t xml:space="preserve">CSI for </w:t>
            </w:r>
            <w:r>
              <w:rPr>
                <w:rFonts w:hint="eastAsia" w:eastAsiaTheme="minorEastAsia"/>
                <w:i/>
                <w:iCs/>
                <w:color w:val="000000" w:themeColor="text1"/>
                <w:lang w:val="en-US" w:eastAsia="zh-CN"/>
                <w14:textFill>
                  <w14:solidFill>
                    <w14:schemeClr w14:val="tx1"/>
                  </w14:solidFill>
                </w14:textFill>
              </w:rPr>
              <w:t>l</w:t>
            </w:r>
            <w:r>
              <w:rPr>
                <w:rFonts w:eastAsiaTheme="minorEastAsia"/>
                <w:i/>
                <w:color w:val="000000" w:themeColor="text1"/>
                <w:lang w:eastAsia="ko-KR"/>
                <w14:textFill>
                  <w14:solidFill>
                    <w14:schemeClr w14:val="tx1"/>
                  </w14:solidFill>
                </w14:textFill>
              </w:rPr>
              <w:t xml:space="preserve">-th </w:t>
            </w:r>
            <w:r>
              <w:rPr>
                <w:rFonts w:eastAsiaTheme="minorEastAsia"/>
                <w:color w:val="000000" w:themeColor="text1"/>
                <w:lang w:eastAsia="ko-KR"/>
                <w14:textFill>
                  <w14:solidFill>
                    <w14:schemeClr w14:val="tx1"/>
                  </w14:solidFill>
                </w14:textFill>
              </w:rPr>
              <w:t>layer</w:t>
            </w: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eastAsia="ko-KR"/>
                <w14:textFill>
                  <w14:solidFill>
                    <w14:schemeClr w14:val="tx1"/>
                  </w14:solidFill>
                </w14:textFill>
              </w:rPr>
              <w:t xml:space="preserve"> </w:t>
            </w:r>
            <w:r>
              <w:rPr>
                <w:rFonts w:eastAsiaTheme="minorEastAsia"/>
                <w:i/>
                <w:iCs/>
                <w:color w:val="000000" w:themeColor="text1"/>
                <w:lang w:eastAsia="ko-KR"/>
                <w14:textFill>
                  <w14:solidFill>
                    <w14:schemeClr w14:val="tx1"/>
                  </w14:solidFill>
                </w14:textFill>
              </w:rPr>
              <w:t>n</w:t>
            </w:r>
            <w:r>
              <w:rPr>
                <w:rFonts w:eastAsiaTheme="minorEastAsia"/>
                <w:i/>
                <w:iCs/>
                <w:color w:val="000000" w:themeColor="text1"/>
                <w:vertAlign w:val="subscript"/>
                <w:lang w:eastAsia="ko-KR"/>
                <w14:textFill>
                  <w14:solidFill>
                    <w14:schemeClr w14:val="tx1"/>
                  </w14:solidFill>
                </w14:textFill>
              </w:rPr>
              <w:t>3</w:t>
            </w:r>
            <w:r>
              <w:rPr>
                <w:rFonts w:eastAsiaTheme="minorEastAsia"/>
                <w:color w:val="000000" w:themeColor="text1"/>
                <w:lang w:eastAsia="ko-KR"/>
                <w14:textFill>
                  <w14:solidFill>
                    <w14:schemeClr w14:val="tx1"/>
                  </w14:solidFill>
                </w14:textFill>
              </w:rPr>
              <w:t xml:space="preserve">-th subband, </w:t>
            </w:r>
            <w:r>
              <w:rPr>
                <w:rFonts w:eastAsiaTheme="minorEastAsia"/>
                <w:i/>
                <w:iCs/>
                <w:color w:val="000000" w:themeColor="text1"/>
                <w:lang w:eastAsia="ko-KR"/>
                <w14:textFill>
                  <w14:solidFill>
                    <w14:schemeClr w14:val="tx1"/>
                  </w14:solidFill>
                </w14:textFill>
              </w:rPr>
              <w:t>n</w:t>
            </w:r>
            <w:r>
              <w:rPr>
                <w:rFonts w:eastAsiaTheme="minorEastAsia"/>
                <w:i/>
                <w:iCs/>
                <w:color w:val="000000" w:themeColor="text1"/>
                <w:vertAlign w:val="subscript"/>
                <w:lang w:eastAsia="ko-KR"/>
                <w14:textFill>
                  <w14:solidFill>
                    <w14:schemeClr w14:val="tx1"/>
                  </w14:solidFill>
                </w14:textFill>
              </w:rPr>
              <w:t>4</w:t>
            </w:r>
            <w:r>
              <w:rPr>
                <w:rFonts w:eastAsiaTheme="minorEastAsia"/>
                <w:color w:val="000000" w:themeColor="text1"/>
                <w:lang w:eastAsia="ko-KR"/>
                <w14:textFill>
                  <w14:solidFill>
                    <w14:schemeClr w14:val="tx1"/>
                  </w14:solidFill>
                </w14:textFill>
              </w:rPr>
              <w:t>-th prediction instance</w:t>
            </w:r>
          </w:p>
          <w:p>
            <w:pPr>
              <w:spacing w:before="120" w:after="0" w:line="280" w:lineRule="atLeast"/>
              <w:rPr>
                <w:color w:val="000000" w:themeColor="text1"/>
                <w:lang w:val="en-US" w:eastAsia="zh-CN"/>
                <w14:textFill>
                  <w14:solidFill>
                    <w14:schemeClr w14:val="tx1"/>
                  </w14:solidFill>
                </w14:textFill>
              </w:rPr>
            </w:pPr>
            <w:r>
              <w:rPr>
                <w:rFonts w:hint="eastAsia" w:eastAsia="等线"/>
                <w:lang w:eastAsia="zh-CN"/>
              </w:rPr>
              <w:t>Note: How to handle layer mapping mismatch, if any, is up to UE implementation</w:t>
            </w:r>
            <w:r>
              <w:rPr>
                <w:rFonts w:hint="eastAsia" w:eastAsia="等线"/>
                <w:lang w:val="en-US" w:eastAsia="zh-CN"/>
              </w:rPr>
              <w:t>.</w:t>
            </w:r>
          </w:p>
        </w:tc>
      </w:tr>
    </w:tbl>
    <w:p>
      <w:pPr>
        <w:rPr>
          <w:color w:val="000000" w:themeColor="text1"/>
          <w:lang w:val="en-US" w:eastAsia="zh-CN"/>
          <w14:textFill>
            <w14:solidFill>
              <w14:schemeClr w14:val="tx1"/>
            </w14:solidFill>
          </w14:textFill>
        </w:rPr>
      </w:pP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In RAN1#121 meeting, to resolve the reporting content issue for SGCS, companies agreed the following agreement. In this agreement, the SGCS should be reported with wideband granularity.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5"/>
              <w:spacing w:before="0" w:after="0" w:line="280" w:lineRule="atLeast"/>
              <w:ind w:left="0"/>
              <w:rPr>
                <w:rFonts w:eastAsia="等线"/>
                <w:highlight w:val="green"/>
              </w:rPr>
            </w:pPr>
            <w:r>
              <w:rPr>
                <w:rFonts w:hint="eastAsia" w:eastAsia="等线"/>
                <w:highlight w:val="green"/>
              </w:rPr>
              <w:t>Agreement</w:t>
            </w:r>
          </w:p>
          <w:p>
            <w:pPr>
              <w:spacing w:before="0" w:after="0" w:line="280" w:lineRule="atLeast"/>
            </w:pPr>
            <w:r>
              <w:rPr>
                <w:lang w:eastAsia="ko-KR"/>
              </w:rPr>
              <w:t xml:space="preserve">For CSI prediction using UE-side model, </w:t>
            </w:r>
            <w:r>
              <w:t>for reporting contents of UE assisted performance monitoring,</w:t>
            </w:r>
          </w:p>
          <w:p>
            <w:pPr>
              <w:pStyle w:val="65"/>
              <w:numPr>
                <w:ilvl w:val="0"/>
                <w:numId w:val="21"/>
              </w:numPr>
              <w:spacing w:before="0" w:after="0" w:line="280" w:lineRule="atLeast"/>
              <w:rPr>
                <w:color w:val="000000"/>
              </w:rPr>
            </w:pPr>
            <w:r>
              <w:rPr>
                <w:rFonts w:eastAsia="等线"/>
              </w:rPr>
              <w:t xml:space="preserve">one SGCS is calculated based </w:t>
            </w:r>
            <w:r>
              <w:rPr>
                <w:lang w:eastAsia="ko-KR"/>
              </w:rPr>
              <w:t>on predicted CSI</w:t>
            </w:r>
            <w:r>
              <w:rPr>
                <w:rFonts w:eastAsia="等线"/>
              </w:rPr>
              <w:t xml:space="preserve"> for one inference reporting</w:t>
            </w:r>
            <w:r>
              <w:rPr>
                <w:lang w:eastAsia="ko-KR"/>
              </w:rPr>
              <w:t xml:space="preserve">, </w:t>
            </w:r>
            <w:r>
              <w:rPr>
                <w:rFonts w:eastAsia="等线"/>
              </w:rPr>
              <w:t xml:space="preserve">and </w:t>
            </w:r>
            <w:r>
              <w:rPr>
                <w:lang w:eastAsia="ko-KR"/>
              </w:rPr>
              <w:t>ground truth CSI</w:t>
            </w:r>
            <w:r>
              <w:rPr>
                <w:rFonts w:eastAsia="等线"/>
              </w:rPr>
              <w:t xml:space="preserve">, another SGCS is </w:t>
            </w:r>
            <w:r>
              <w:rPr>
                <w:lang w:eastAsia="ko-KR"/>
              </w:rPr>
              <w:t>based on ground truth CSI a</w:t>
            </w:r>
            <w:r>
              <w:rPr>
                <w:rFonts w:eastAsia="等线"/>
              </w:rPr>
              <w:t>nd CSI (non-predicted) corresponding to the latest CSI-RS transmission occasion not later than CSI reference resource of the inference reporting instance</w:t>
            </w:r>
          </w:p>
          <w:p>
            <w:pPr>
              <w:pStyle w:val="65"/>
              <w:numPr>
                <w:ilvl w:val="0"/>
                <w:numId w:val="21"/>
              </w:numPr>
              <w:spacing w:before="0" w:after="0" w:line="280" w:lineRule="atLeast"/>
              <w:rPr>
                <w:color w:val="000000"/>
              </w:rPr>
            </w:pPr>
            <w:r>
              <w:rPr>
                <w:color w:val="000000"/>
              </w:rPr>
              <w:t>SGCS is reported</w:t>
            </w:r>
          </w:p>
          <w:p>
            <w:pPr>
              <w:pStyle w:val="65"/>
              <w:numPr>
                <w:ilvl w:val="1"/>
                <w:numId w:val="21"/>
              </w:numPr>
              <w:spacing w:before="0" w:after="0" w:line="280" w:lineRule="atLeast"/>
              <w:rPr>
                <w:rFonts w:eastAsia="等线"/>
                <w:color w:val="000000"/>
                <w:lang w:eastAsia="ko-KR"/>
              </w:rPr>
            </w:pPr>
            <w:r>
              <w:rPr>
                <w:rFonts w:eastAsia="等线"/>
                <w:color w:val="000000"/>
                <w:lang w:eastAsia="ko-KR"/>
              </w:rPr>
              <w:t>wideband frequency granularity</w:t>
            </w:r>
          </w:p>
          <w:p>
            <w:pPr>
              <w:pStyle w:val="65"/>
              <w:numPr>
                <w:ilvl w:val="1"/>
                <w:numId w:val="21"/>
              </w:numPr>
              <w:spacing w:before="0" w:after="0" w:line="280" w:lineRule="atLeast"/>
              <w:rPr>
                <w:rFonts w:eastAsia="等线"/>
                <w:color w:val="000000"/>
                <w:lang w:eastAsia="ko-KR"/>
              </w:rPr>
            </w:pPr>
            <w:r>
              <w:rPr>
                <w:rFonts w:eastAsia="等线"/>
                <w:color w:val="000000"/>
                <w:lang w:eastAsia="ko-KR"/>
              </w:rPr>
              <w:t>only for one pr</w:t>
            </w:r>
            <w:r>
              <w:rPr>
                <w:rFonts w:hint="eastAsia" w:eastAsia="等线"/>
                <w:color w:val="000000"/>
                <w:lang w:val="en-US" w:eastAsia="zh-CN"/>
              </w:rPr>
              <w:t>e</w:t>
            </w:r>
            <w:r>
              <w:rPr>
                <w:rFonts w:eastAsia="等线"/>
                <w:color w:val="000000"/>
                <w:lang w:eastAsia="ko-KR"/>
              </w:rPr>
              <w:t>diction instance configured by NW</w:t>
            </w:r>
          </w:p>
          <w:p>
            <w:pPr>
              <w:pStyle w:val="65"/>
              <w:numPr>
                <w:ilvl w:val="1"/>
                <w:numId w:val="21"/>
              </w:numPr>
              <w:spacing w:before="0" w:after="0" w:line="280" w:lineRule="atLeast"/>
              <w:rPr>
                <w:rFonts w:eastAsia="等线"/>
                <w:color w:val="000000"/>
                <w:lang w:eastAsia="ko-KR"/>
              </w:rPr>
            </w:pPr>
            <w:r>
              <w:rPr>
                <w:rFonts w:eastAsia="等线"/>
                <w:color w:val="000000"/>
                <w:lang w:eastAsia="ko-KR"/>
              </w:rPr>
              <w:t xml:space="preserve">per layer, and the total number of layers is the same as the reported RI in the associated inference report </w:t>
            </w:r>
          </w:p>
          <w:p>
            <w:pPr>
              <w:pStyle w:val="65"/>
              <w:numPr>
                <w:ilvl w:val="0"/>
                <w:numId w:val="21"/>
              </w:numPr>
              <w:spacing w:before="0" w:after="0" w:line="280" w:lineRule="atLeast"/>
              <w:rPr>
                <w:rFonts w:eastAsia="等线"/>
                <w:lang w:eastAsia="ko-KR"/>
              </w:rPr>
            </w:pPr>
            <w:r>
              <w:rPr>
                <w:rFonts w:eastAsia="等线"/>
                <w:lang w:eastAsia="ko-KR"/>
              </w:rPr>
              <w:t xml:space="preserve">Introduce new RRC parameter for </w:t>
            </w:r>
            <w:r>
              <w:rPr>
                <w:bCs/>
                <w:iCs/>
                <w:lang w:eastAsia="ko-KR"/>
              </w:rPr>
              <w:t>reportQuantity</w:t>
            </w:r>
            <w:r>
              <w:rPr>
                <w:rFonts w:eastAsia="等线"/>
                <w:lang w:eastAsia="ko-KR"/>
              </w:rPr>
              <w:t>, e.g., ‘SGCS-r19’</w:t>
            </w:r>
          </w:p>
          <w:p>
            <w:pPr>
              <w:pStyle w:val="65"/>
              <w:numPr>
                <w:ilvl w:val="0"/>
                <w:numId w:val="21"/>
              </w:numPr>
              <w:spacing w:before="0" w:after="0" w:line="280" w:lineRule="atLeast"/>
              <w:rPr>
                <w:rFonts w:eastAsia="等线"/>
                <w:lang w:eastAsia="ko-KR"/>
              </w:rPr>
            </w:pPr>
            <w:r>
              <w:rPr>
                <w:rFonts w:eastAsia="等线"/>
                <w:lang w:eastAsia="ko-KR"/>
              </w:rPr>
              <w:t xml:space="preserve">Each SGCS value is quantized with 4-bit </w:t>
            </w:r>
          </w:p>
          <w:p>
            <w:pPr>
              <w:pStyle w:val="65"/>
              <w:numPr>
                <w:ilvl w:val="1"/>
                <w:numId w:val="21"/>
              </w:numPr>
              <w:spacing w:before="0" w:after="0" w:line="280" w:lineRule="atLeast"/>
            </w:pPr>
            <w:r>
              <w:rPr>
                <w:rFonts w:hint="eastAsia" w:eastAsia="等线"/>
              </w:rPr>
              <w:t xml:space="preserve">15 </w:t>
            </w:r>
            <w:r>
              <w:rPr>
                <w:lang w:eastAsia="ko-KR"/>
              </w:rPr>
              <w:t xml:space="preserve">codepoints are used to uniformly quantize in </w:t>
            </w:r>
            <w:r>
              <w:rPr>
                <w:color w:val="000000"/>
                <w:lang w:eastAsia="ko-KR"/>
              </w:rPr>
              <w:t>range [0.3 1</w:t>
            </w:r>
            <w:r>
              <w:rPr>
                <w:color w:val="000000"/>
              </w:rPr>
              <w:t>]</w:t>
            </w:r>
            <w:r>
              <w:rPr>
                <w:color w:val="000000"/>
                <w:lang w:eastAsia="ko-KR"/>
              </w:rPr>
              <w:t xml:space="preserve"> in </w:t>
            </w:r>
            <w:r>
              <w:rPr>
                <w:lang w:eastAsia="ko-KR"/>
              </w:rPr>
              <w:t>linear scale.</w:t>
            </w:r>
          </w:p>
          <w:p>
            <w:pPr>
              <w:pStyle w:val="65"/>
              <w:numPr>
                <w:ilvl w:val="1"/>
                <w:numId w:val="21"/>
              </w:numPr>
              <w:spacing w:before="0" w:after="0" w:line="280" w:lineRule="atLeast"/>
            </w:pPr>
            <w:r>
              <w:t>One codepoint is used to indicate the value range of (0 0.3]</w:t>
            </w:r>
          </w:p>
          <w:p>
            <w:pPr>
              <w:pStyle w:val="65"/>
              <w:numPr>
                <w:ilvl w:val="0"/>
                <w:numId w:val="21"/>
              </w:numPr>
              <w:spacing w:before="0" w:after="0" w:line="280" w:lineRule="atLeast"/>
              <w:textAlignment w:val="center"/>
            </w:pPr>
            <w:r>
              <w:t xml:space="preserve">Only one monitoring resource set is configured in the </w:t>
            </w:r>
            <w:r>
              <w:rPr>
                <w:rFonts w:eastAsia="Times New Roman"/>
                <w:i/>
                <w:iCs/>
              </w:rPr>
              <w:t>CSI-ReportConfig</w:t>
            </w:r>
          </w:p>
          <w:p>
            <w:pPr>
              <w:pStyle w:val="65"/>
              <w:numPr>
                <w:ilvl w:val="0"/>
                <w:numId w:val="21"/>
              </w:numPr>
              <w:spacing w:before="0" w:after="0" w:line="280" w:lineRule="atLeast"/>
              <w:textAlignment w:val="center"/>
              <w:rPr>
                <w:bCs/>
                <w:lang w:val="en-US" w:eastAsia="zh-CN"/>
              </w:rPr>
            </w:pPr>
            <w:r>
              <w:t xml:space="preserve">The one configured time instance (i.e. f-th doppler domain unit in one inference report) for SGCS calculation is configured in the </w:t>
            </w:r>
            <w:r>
              <w:rPr>
                <w:rFonts w:eastAsia="Times New Roman"/>
                <w:i/>
                <w:iCs/>
              </w:rPr>
              <w:t xml:space="preserve">CSI-ReportConfig </w:t>
            </w:r>
            <w:r>
              <w:rPr>
                <w:rFonts w:eastAsia="Times New Roman"/>
              </w:rPr>
              <w:t>for monitoring, for N4&gt;1</w:t>
            </w:r>
          </w:p>
          <w:p>
            <w:pPr>
              <w:pStyle w:val="65"/>
              <w:numPr>
                <w:ilvl w:val="255"/>
                <w:numId w:val="0"/>
              </w:numPr>
              <w:spacing w:before="0" w:after="0" w:line="280" w:lineRule="atLeast"/>
              <w:rPr>
                <w:color w:val="000000" w:themeColor="text1"/>
                <w:lang w:val="en-US" w:eastAsia="zh-CN"/>
                <w14:textFill>
                  <w14:solidFill>
                    <w14:schemeClr w14:val="tx1"/>
                  </w14:solidFill>
                </w14:textFill>
              </w:rPr>
            </w:pPr>
          </w:p>
        </w:tc>
      </w:tr>
    </w:tbl>
    <w:p>
      <w:pPr>
        <w:numPr>
          <w:ilvl w:val="255"/>
          <w:numId w:val="0"/>
        </w:numPr>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 xml:space="preserve">After RAN1#121 meeting, in the latest version of TS 38.214 (V19.0.0) [3], the specification </w:t>
      </w:r>
      <w:bookmarkStart w:id="4" w:name="_GoBack"/>
      <w:bookmarkEnd w:id="4"/>
      <w:r>
        <w:rPr>
          <w:rFonts w:hint="eastAsia" w:hAnsi="Cambria Math" w:cs="Arial"/>
          <w:color w:val="000000" w:themeColor="text1"/>
          <w:lang w:val="en-US" w:eastAsia="zh-CN"/>
          <w14:textFill>
            <w14:solidFill>
              <w14:schemeClr w14:val="tx1"/>
            </w14:solidFill>
          </w14:textFill>
        </w:rPr>
        <w:t>defines a new SGCS with wideband granularity, which is not aligned with the agreement for SGCS definition in RAN1#120b meeting.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spacing w:before="120" w:line="280" w:lineRule="atLeast"/>
              <w:rPr>
                <w:rFonts w:hAnsi="Cambria Math" w:cs="Arial"/>
                <w:b/>
                <w:bCs/>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TS 38.214, Section 5.2.1.4.6 CSI-PAI reporting</w:t>
            </w:r>
          </w:p>
          <w:p>
            <w:pPr>
              <w:pStyle w:val="123"/>
              <w:spacing w:before="120" w:line="280" w:lineRule="atLeast"/>
              <w:rPr>
                <w:lang w:val="en-GB"/>
              </w:rPr>
            </w:pPr>
            <w:r>
              <w:rPr>
                <w:rFonts w:eastAsia="微软雅黑"/>
              </w:rPr>
              <w:t>-</w:t>
            </w:r>
            <w:r>
              <w:rPr>
                <w:rFonts w:eastAsia="微软雅黑"/>
              </w:rPr>
              <w:tab/>
            </w:r>
            <w:r>
              <w:rPr>
                <w:rFonts w:eastAsia="微软雅黑"/>
              </w:rPr>
              <w:t>f</w:t>
            </w:r>
            <w:r>
              <w:rPr>
                <w:lang w:val="en-GB"/>
              </w:rPr>
              <w:t xml:space="preserve">or </w:t>
            </w:r>
            <m:oMath>
              <m:r>
                <m:rPr/>
                <w:rPr>
                  <w:rFonts w:ascii="Cambria Math" w:hAnsi="Cambria Math"/>
                  <w:lang w:val="en-GB"/>
                </w:rPr>
                <m:t xml:space="preserve">k </m:t>
              </m:r>
              <m:r>
                <m:rPr/>
                <w:rPr>
                  <w:rFonts w:ascii="Cambria Math" w:hAnsi="Cambria Math"/>
                  <w:color w:val="000000"/>
                  <w:lang w:eastAsia="zh-CN"/>
                </w:rPr>
                <m:t>∈</m:t>
              </m:r>
              <m:d>
                <m:dPr>
                  <m:begChr m:val="{"/>
                  <m:endChr m:val="}"/>
                  <m:ctrlPr>
                    <w:rPr>
                      <w:rFonts w:ascii="Cambria Math" w:hAnsi="Cambria Math"/>
                      <w:i/>
                      <w:color w:val="000000"/>
                      <w:lang w:eastAsia="zh-CN"/>
                    </w:rPr>
                  </m:ctrlPr>
                </m:dPr>
                <m:e>
                  <m:r>
                    <m:rPr/>
                    <w:rPr>
                      <w:rFonts w:ascii="Cambria Math" w:hAnsi="Cambria Math"/>
                      <w:color w:val="000000"/>
                      <w:lang w:eastAsia="zh-CN"/>
                    </w:rPr>
                    <m:t>1,2,…,v</m:t>
                  </m:r>
                  <m:ctrlPr>
                    <w:rPr>
                      <w:rFonts w:ascii="Cambria Math" w:hAnsi="Cambria Math"/>
                      <w:i/>
                      <w:color w:val="000000"/>
                      <w:lang w:eastAsia="zh-CN"/>
                    </w:rPr>
                  </m:ctrlPr>
                </m:e>
              </m:d>
            </m:oMath>
            <w:r>
              <w:rPr>
                <w:lang w:val="en-GB"/>
              </w:rPr>
              <w:t xml:space="preserve">, </w:t>
            </w:r>
            <m:oMath>
              <m:r>
                <m:rPr/>
                <w:rPr>
                  <w:rFonts w:ascii="Cambria Math" w:hAnsi="Cambria Math"/>
                  <w:color w:val="000000"/>
                  <w:lang w:eastAsia="zh-CN"/>
                </w:rPr>
                <m:t>v</m:t>
              </m:r>
            </m:oMath>
            <w:r>
              <w:rPr>
                <w:color w:val="000000"/>
                <w:lang w:eastAsia="zh-CN"/>
              </w:rPr>
              <w:t xml:space="preserve"> is the RI reported for the CSI report corresponding to the first Reporting Setting</w:t>
            </w:r>
            <w:r>
              <w:rPr>
                <w:lang w:val="en-GB"/>
              </w:rPr>
              <w:t xml:space="preserve">, calculate SGCS value(s) as, </w:t>
            </w:r>
          </w:p>
          <w:p>
            <w:pPr>
              <w:pStyle w:val="122"/>
              <w:spacing w:before="120" w:line="280" w:lineRule="atLeast"/>
              <w:ind w:left="851"/>
              <w:jc w:val="center"/>
              <w:rPr>
                <w:color w:val="000000"/>
              </w:rPr>
            </w:pPr>
            <m:oMath>
              <m:sSubSup>
                <m:sSubSupPr>
                  <m:ctrlPr>
                    <w:rPr>
                      <w:rFonts w:ascii="Cambria Math" w:hAnsi="Cambria Math"/>
                      <w:i/>
                      <w:color w:val="000000"/>
                    </w:rPr>
                  </m:ctrlPr>
                </m:sSubSupPr>
                <m:e>
                  <m:r>
                    <m:rPr/>
                    <w:rPr>
                      <w:rFonts w:ascii="Cambria Math" w:hAnsi="Cambria Math"/>
                      <w:color w:val="000000"/>
                    </w:rPr>
                    <m:t>SGCS</m:t>
                  </m:r>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up>
                  <m:r>
                    <m:rPr/>
                    <w:rPr>
                      <w:rFonts w:ascii="Cambria Math" w:hAnsi="Cambria Math"/>
                      <w:color w:val="000000"/>
                    </w:rPr>
                    <m:t>1</m:t>
                  </m:r>
                  <m:ctrlPr>
                    <w:rPr>
                      <w:rFonts w:ascii="Cambria Math" w:hAnsi="Cambria Math"/>
                      <w:i/>
                      <w:color w:val="000000"/>
                    </w:rPr>
                  </m:ctrlPr>
                </m:sup>
              </m:sSubSup>
              <m:r>
                <m:rPr/>
                <w:rPr>
                  <w:rFonts w:ascii="Cambria Math" w:hAnsi="Cambria Math"/>
                  <w:color w:val="000000"/>
                </w:rPr>
                <m:t>=</m:t>
              </m:r>
              <m:sSup>
                <m:sSupPr>
                  <m:ctrlPr>
                    <w:rPr>
                      <w:rFonts w:ascii="Cambria Math" w:hAnsi="Cambria Math"/>
                      <w:i/>
                      <w:color w:val="000000"/>
                    </w:rPr>
                  </m:ctrlPr>
                </m:sSupPr>
                <m:e>
                  <m:d>
                    <m:dPr>
                      <m:ctrlPr>
                        <w:rPr>
                          <w:rFonts w:ascii="Cambria Math" w:hAnsi="Cambria Math"/>
                          <w:i/>
                          <w:color w:val="000000"/>
                        </w:rPr>
                      </m:ctrlPr>
                    </m:dPr>
                    <m:e>
                      <m:f>
                        <m:fPr>
                          <m:type m:val="lin"/>
                          <m:ctrlPr>
                            <w:rPr>
                              <w:rFonts w:ascii="Cambria Math" w:hAnsi="Cambria Math"/>
                              <w:i/>
                              <w:color w:val="000000"/>
                            </w:rPr>
                          </m:ctrlPr>
                        </m:fPr>
                        <m:num>
                          <m:d>
                            <m:dPr>
                              <m:begChr m:val="‖"/>
                              <m:endChr m:val="‖"/>
                              <m:ctrlPr>
                                <w:rPr>
                                  <w:rFonts w:ascii="Cambria Math" w:hAnsi="Cambria Math"/>
                                  <w:i/>
                                  <w:color w:val="000000"/>
                                </w:rPr>
                              </m:ctrlPr>
                            </m:dPr>
                            <m:e>
                              <m:sSubSup>
                                <m:sSubSupPr>
                                  <m:ctrlPr>
                                    <w:rPr>
                                      <w:rFonts w:ascii="Cambria Math" w:hAnsi="Cambria Math"/>
                                      <w:i/>
                                      <w:color w:val="000000"/>
                                    </w:rPr>
                                  </m:ctrlPr>
                                </m:sSubSupPr>
                                <m:e>
                                  <m:acc>
                                    <m:accPr>
                                      <m:chr m:val="̃"/>
                                      <m:ctrlPr>
                                        <w:rPr>
                                          <w:rFonts w:ascii="Cambria Math" w:hAnsi="Cambria Math"/>
                                          <w:i/>
                                          <w:color w:val="000000"/>
                                        </w:rPr>
                                      </m:ctrlPr>
                                    </m:accPr>
                                    <m:e>
                                      <m:r>
                                        <m:rPr>
                                          <m:sty m:val="bi"/>
                                        </m:rPr>
                                        <w:rPr>
                                          <w:rFonts w:ascii="Cambria Math" w:hAnsi="Cambria Math"/>
                                          <w:color w:val="000000"/>
                                        </w:rPr>
                                        <m:t>w</m:t>
                                      </m:r>
                                      <m:ctrlPr>
                                        <w:rPr>
                                          <w:rFonts w:ascii="Cambria Math" w:hAnsi="Cambria Math"/>
                                          <w:i/>
                                          <w:color w:val="000000"/>
                                        </w:rPr>
                                      </m:ctrlPr>
                                    </m:e>
                                  </m:acc>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up>
                                  <m:r>
                                    <m:rPr/>
                                    <w:rPr>
                                      <w:rFonts w:ascii="Cambria Math" w:hAnsi="Cambria Math"/>
                                      <w:color w:val="000000"/>
                                    </w:rPr>
                                    <m:t>H</m:t>
                                  </m:r>
                                  <m:ctrlPr>
                                    <w:rPr>
                                      <w:rFonts w:ascii="Cambria Math" w:hAnsi="Cambria Math"/>
                                      <w:i/>
                                      <w:color w:val="000000"/>
                                    </w:rPr>
                                  </m:ctrlPr>
                                </m:sup>
                              </m:sSubSup>
                              <m:sSub>
                                <m:sSubPr>
                                  <m:ctrlPr>
                                    <w:rPr>
                                      <w:rFonts w:ascii="Cambria Math" w:hAnsi="Cambria Math"/>
                                      <w:i/>
                                      <w:color w:val="000000"/>
                                    </w:rPr>
                                  </m:ctrlPr>
                                </m:sSubPr>
                                <m:e>
                                  <m:r>
                                    <m:rPr>
                                      <m:sty m:val="bi"/>
                                    </m:rPr>
                                    <w:rPr>
                                      <w:rFonts w:ascii="Cambria Math" w:hAnsi="Cambria Math"/>
                                      <w:color w:val="000000"/>
                                    </w:rPr>
                                    <m:t>w</m:t>
                                  </m:r>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Sub>
                              <m:ctrlPr>
                                <w:rPr>
                                  <w:rFonts w:ascii="Cambria Math" w:hAnsi="Cambria Math"/>
                                  <w:i/>
                                  <w:color w:val="000000"/>
                                </w:rPr>
                              </m:ctrlPr>
                            </m:e>
                          </m:d>
                          <m:ctrlPr>
                            <w:rPr>
                              <w:rFonts w:ascii="Cambria Math" w:hAnsi="Cambria Math"/>
                              <w:i/>
                              <w:color w:val="000000"/>
                            </w:rPr>
                          </m:ctrlPr>
                        </m:num>
                        <m:den>
                          <m:d>
                            <m:dPr>
                              <m:begChr m:val="‖"/>
                              <m:endChr m:val="‖"/>
                              <m:ctrlPr>
                                <w:rPr>
                                  <w:rFonts w:ascii="Cambria Math" w:hAnsi="Cambria Math"/>
                                  <w:i/>
                                  <w:color w:val="000000"/>
                                </w:rPr>
                              </m:ctrlPr>
                            </m:dPr>
                            <m:e>
                              <m:sSub>
                                <m:sSubPr>
                                  <m:ctrlPr>
                                    <w:rPr>
                                      <w:rFonts w:ascii="Cambria Math" w:hAnsi="Cambria Math"/>
                                      <w:i/>
                                      <w:color w:val="000000"/>
                                    </w:rPr>
                                  </m:ctrlPr>
                                </m:sSubPr>
                                <m:e>
                                  <m:acc>
                                    <m:accPr>
                                      <m:chr m:val="̃"/>
                                      <m:ctrlPr>
                                        <w:rPr>
                                          <w:rFonts w:ascii="Cambria Math" w:hAnsi="Cambria Math"/>
                                          <w:b/>
                                          <w:bCs/>
                                          <w:i/>
                                          <w:color w:val="000000"/>
                                        </w:rPr>
                                      </m:ctrlPr>
                                    </m:accPr>
                                    <m:e>
                                      <m:r>
                                        <m:rPr>
                                          <m:sty m:val="bi"/>
                                        </m:rPr>
                                        <w:rPr>
                                          <w:rFonts w:ascii="Cambria Math" w:hAnsi="Cambria Math"/>
                                          <w:color w:val="000000"/>
                                        </w:rPr>
                                        <m:t>w</m:t>
                                      </m:r>
                                      <m:ctrlPr>
                                        <w:rPr>
                                          <w:rFonts w:ascii="Cambria Math" w:hAnsi="Cambria Math"/>
                                          <w:b/>
                                          <w:bCs/>
                                          <w:i/>
                                          <w:color w:val="000000"/>
                                        </w:rPr>
                                      </m:ctrlPr>
                                    </m:e>
                                  </m:acc>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Sub>
                              <m:ctrlPr>
                                <w:rPr>
                                  <w:rFonts w:ascii="Cambria Math" w:hAnsi="Cambria Math"/>
                                  <w:i/>
                                  <w:color w:val="000000"/>
                                </w:rPr>
                              </m:ctrlPr>
                            </m:e>
                          </m:d>
                          <m:r>
                            <m:rP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i/>
                                      <w:color w:val="000000"/>
                                    </w:rPr>
                                  </m:ctrlPr>
                                </m:sSubPr>
                                <m:e>
                                  <m:r>
                                    <m:rPr>
                                      <m:sty m:val="bi"/>
                                    </m:rPr>
                                    <w:rPr>
                                      <w:rFonts w:ascii="Cambria Math" w:hAnsi="Cambria Math"/>
                                      <w:color w:val="000000"/>
                                    </w:rPr>
                                    <m:t>w</m:t>
                                  </m:r>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Sub>
                              <m:ctrlPr>
                                <w:rPr>
                                  <w:rFonts w:ascii="Cambria Math" w:hAnsi="Cambria Math"/>
                                  <w:i/>
                                  <w:color w:val="000000"/>
                                </w:rPr>
                              </m:ctrlPr>
                            </m:e>
                          </m:d>
                          <m:ctrlPr>
                            <w:rPr>
                              <w:rFonts w:ascii="Cambria Math" w:hAnsi="Cambria Math"/>
                              <w:i/>
                              <w:color w:val="000000"/>
                            </w:rPr>
                          </m:ctrlPr>
                        </m:den>
                      </m:f>
                      <m:ctrlPr>
                        <w:rPr>
                          <w:rFonts w:ascii="Cambria Math" w:hAnsi="Cambria Math"/>
                          <w:i/>
                          <w:color w:val="000000"/>
                        </w:rPr>
                      </m:ctrlPr>
                    </m:e>
                  </m:d>
                  <m:ctrlPr>
                    <w:rPr>
                      <w:rFonts w:ascii="Cambria Math" w:hAnsi="Cambria Math"/>
                      <w:i/>
                      <w:color w:val="000000"/>
                    </w:rPr>
                  </m:ctrlPr>
                </m:e>
                <m:sup>
                  <m:r>
                    <m:rPr/>
                    <w:rPr>
                      <w:rFonts w:ascii="Cambria Math" w:hAnsi="Cambria Math"/>
                      <w:color w:val="000000"/>
                    </w:rPr>
                    <m:t>2</m:t>
                  </m:r>
                  <m:ctrlPr>
                    <w:rPr>
                      <w:rFonts w:ascii="Cambria Math" w:hAnsi="Cambria Math"/>
                      <w:i/>
                      <w:color w:val="000000"/>
                    </w:rPr>
                  </m:ctrlPr>
                </m:sup>
              </m:sSup>
            </m:oMath>
            <w:r>
              <w:rPr>
                <w:color w:val="000000"/>
              </w:rPr>
              <w:t xml:space="preserve">, </w:t>
            </w:r>
          </w:p>
          <w:p>
            <w:pPr>
              <w:pStyle w:val="122"/>
              <w:spacing w:before="120" w:line="280" w:lineRule="atLeast"/>
              <w:ind w:left="851"/>
              <w:jc w:val="center"/>
              <w:rPr>
                <w:color w:val="000000"/>
              </w:rPr>
            </w:pPr>
            <m:oMath>
              <m:sSubSup>
                <m:sSubSupPr>
                  <m:ctrlPr>
                    <w:rPr>
                      <w:rFonts w:ascii="Cambria Math" w:hAnsi="Cambria Math"/>
                      <w:i/>
                      <w:color w:val="000000"/>
                    </w:rPr>
                  </m:ctrlPr>
                </m:sSubSupPr>
                <m:e>
                  <m:r>
                    <m:rPr/>
                    <w:rPr>
                      <w:rFonts w:ascii="Cambria Math" w:hAnsi="Cambria Math"/>
                      <w:color w:val="000000"/>
                    </w:rPr>
                    <m:t>SGCS</m:t>
                  </m:r>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up>
                  <m:r>
                    <m:rPr/>
                    <w:rPr>
                      <w:rFonts w:ascii="Cambria Math" w:hAnsi="Cambria Math"/>
                      <w:color w:val="000000"/>
                    </w:rPr>
                    <m:t>2</m:t>
                  </m:r>
                  <m:ctrlPr>
                    <w:rPr>
                      <w:rFonts w:ascii="Cambria Math" w:hAnsi="Cambria Math"/>
                      <w:i/>
                      <w:color w:val="000000"/>
                    </w:rPr>
                  </m:ctrlPr>
                </m:sup>
              </m:sSubSup>
              <m:r>
                <m:rPr/>
                <w:rPr>
                  <w:rFonts w:ascii="Cambria Math" w:hAnsi="Cambria Math"/>
                  <w:color w:val="000000"/>
                </w:rPr>
                <m:t>=</m:t>
              </m:r>
              <m:sSup>
                <m:sSupPr>
                  <m:ctrlPr>
                    <w:rPr>
                      <w:rFonts w:ascii="Cambria Math" w:hAnsi="Cambria Math"/>
                      <w:i/>
                      <w:color w:val="000000"/>
                    </w:rPr>
                  </m:ctrlPr>
                </m:sSupPr>
                <m:e>
                  <m:d>
                    <m:dPr>
                      <m:ctrlPr>
                        <w:rPr>
                          <w:rFonts w:ascii="Cambria Math" w:hAnsi="Cambria Math"/>
                          <w:i/>
                          <w:color w:val="000000"/>
                        </w:rPr>
                      </m:ctrlPr>
                    </m:dPr>
                    <m:e>
                      <m:f>
                        <m:fPr>
                          <m:type m:val="lin"/>
                          <m:ctrlPr>
                            <w:rPr>
                              <w:rFonts w:ascii="Cambria Math" w:hAnsi="Cambria Math"/>
                              <w:i/>
                              <w:color w:val="000000"/>
                            </w:rPr>
                          </m:ctrlPr>
                        </m:fPr>
                        <m:num>
                          <m:d>
                            <m:dPr>
                              <m:begChr m:val="‖"/>
                              <m:endChr m:val="‖"/>
                              <m:ctrlPr>
                                <w:rPr>
                                  <w:rFonts w:ascii="Cambria Math" w:hAnsi="Cambria Math"/>
                                  <w:i/>
                                  <w:color w:val="000000"/>
                                </w:rPr>
                              </m:ctrlPr>
                            </m:dPr>
                            <m:e>
                              <m:sSubSup>
                                <m:sSubSupPr>
                                  <m:ctrlPr>
                                    <w:rPr>
                                      <w:rFonts w:ascii="Cambria Math" w:hAnsi="Cambria Math"/>
                                      <w:i/>
                                      <w:color w:val="000000"/>
                                    </w:rPr>
                                  </m:ctrlPr>
                                </m:sSubSupPr>
                                <m:e>
                                  <m:acc>
                                    <m:accPr>
                                      <m:ctrlPr>
                                        <w:rPr>
                                          <w:rFonts w:ascii="Cambria Math" w:hAnsi="Cambria Math"/>
                                          <w:i/>
                                          <w:color w:val="000000"/>
                                        </w:rPr>
                                      </m:ctrlPr>
                                    </m:accPr>
                                    <m:e>
                                      <m:r>
                                        <m:rPr>
                                          <m:sty m:val="bi"/>
                                        </m:rPr>
                                        <w:rPr>
                                          <w:rFonts w:ascii="Cambria Math" w:hAnsi="Cambria Math"/>
                                          <w:color w:val="000000"/>
                                        </w:rPr>
                                        <m:t>w</m:t>
                                      </m:r>
                                      <m:ctrlPr>
                                        <w:rPr>
                                          <w:rFonts w:ascii="Cambria Math" w:hAnsi="Cambria Math"/>
                                          <w:i/>
                                          <w:color w:val="000000"/>
                                        </w:rPr>
                                      </m:ctrlPr>
                                    </m:e>
                                  </m:acc>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up>
                                  <m:r>
                                    <m:rPr/>
                                    <w:rPr>
                                      <w:rFonts w:ascii="Cambria Math" w:hAnsi="Cambria Math"/>
                                      <w:color w:val="000000"/>
                                    </w:rPr>
                                    <m:t>H</m:t>
                                  </m:r>
                                  <m:ctrlPr>
                                    <w:rPr>
                                      <w:rFonts w:ascii="Cambria Math" w:hAnsi="Cambria Math"/>
                                      <w:i/>
                                      <w:color w:val="000000"/>
                                    </w:rPr>
                                  </m:ctrlPr>
                                </m:sup>
                              </m:sSubSup>
                              <m:sSub>
                                <m:sSubPr>
                                  <m:ctrlPr>
                                    <w:rPr>
                                      <w:rFonts w:ascii="Cambria Math" w:hAnsi="Cambria Math"/>
                                      <w:i/>
                                      <w:color w:val="000000"/>
                                    </w:rPr>
                                  </m:ctrlPr>
                                </m:sSubPr>
                                <m:e>
                                  <m:r>
                                    <m:rPr>
                                      <m:sty m:val="bi"/>
                                    </m:rPr>
                                    <w:rPr>
                                      <w:rFonts w:ascii="Cambria Math" w:hAnsi="Cambria Math"/>
                                      <w:color w:val="000000"/>
                                    </w:rPr>
                                    <m:t>w</m:t>
                                  </m:r>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Sub>
                              <m:ctrlPr>
                                <w:rPr>
                                  <w:rFonts w:ascii="Cambria Math" w:hAnsi="Cambria Math"/>
                                  <w:i/>
                                  <w:color w:val="000000"/>
                                </w:rPr>
                              </m:ctrlPr>
                            </m:e>
                          </m:d>
                          <m:ctrlPr>
                            <w:rPr>
                              <w:rFonts w:ascii="Cambria Math" w:hAnsi="Cambria Math"/>
                              <w:i/>
                              <w:color w:val="000000"/>
                            </w:rPr>
                          </m:ctrlPr>
                        </m:num>
                        <m:den>
                          <m:d>
                            <m:dPr>
                              <m:begChr m:val="‖"/>
                              <m:endChr m:val="‖"/>
                              <m:ctrlPr>
                                <w:rPr>
                                  <w:rFonts w:ascii="Cambria Math" w:hAnsi="Cambria Math"/>
                                  <w:i/>
                                  <w:color w:val="000000"/>
                                </w:rPr>
                              </m:ctrlPr>
                            </m:dPr>
                            <m:e>
                              <m:sSub>
                                <m:sSubPr>
                                  <m:ctrlPr>
                                    <w:rPr>
                                      <w:rFonts w:ascii="Cambria Math" w:hAnsi="Cambria Math"/>
                                      <w:i/>
                                      <w:color w:val="000000"/>
                                    </w:rPr>
                                  </m:ctrlPr>
                                </m:sSubPr>
                                <m:e>
                                  <m:acc>
                                    <m:accPr>
                                      <m:ctrlPr>
                                        <w:rPr>
                                          <w:rFonts w:ascii="Cambria Math" w:hAnsi="Cambria Math"/>
                                          <w:i/>
                                          <w:color w:val="000000"/>
                                        </w:rPr>
                                      </m:ctrlPr>
                                    </m:accPr>
                                    <m:e>
                                      <m:r>
                                        <m:rPr>
                                          <m:sty m:val="bi"/>
                                        </m:rPr>
                                        <w:rPr>
                                          <w:rFonts w:ascii="Cambria Math" w:hAnsi="Cambria Math"/>
                                          <w:color w:val="000000"/>
                                        </w:rPr>
                                        <m:t>w</m:t>
                                      </m:r>
                                      <m:ctrlPr>
                                        <w:rPr>
                                          <w:rFonts w:ascii="Cambria Math" w:hAnsi="Cambria Math"/>
                                          <w:i/>
                                          <w:color w:val="000000"/>
                                        </w:rPr>
                                      </m:ctrlPr>
                                    </m:e>
                                  </m:acc>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Sub>
                              <m:ctrlPr>
                                <w:rPr>
                                  <w:rFonts w:ascii="Cambria Math" w:hAnsi="Cambria Math"/>
                                  <w:i/>
                                  <w:color w:val="000000"/>
                                </w:rPr>
                              </m:ctrlPr>
                            </m:e>
                          </m:d>
                          <m:r>
                            <m:rP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i/>
                                      <w:color w:val="000000"/>
                                    </w:rPr>
                                  </m:ctrlPr>
                                </m:sSubPr>
                                <m:e>
                                  <m:r>
                                    <m:rPr>
                                      <m:sty m:val="bi"/>
                                    </m:rPr>
                                    <w:rPr>
                                      <w:rFonts w:ascii="Cambria Math" w:hAnsi="Cambria Math"/>
                                      <w:color w:val="000000"/>
                                    </w:rPr>
                                    <m:t>w</m:t>
                                  </m:r>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Sub>
                              <m:ctrlPr>
                                <w:rPr>
                                  <w:rFonts w:ascii="Cambria Math" w:hAnsi="Cambria Math"/>
                                  <w:i/>
                                  <w:color w:val="000000"/>
                                </w:rPr>
                              </m:ctrlPr>
                            </m:e>
                          </m:d>
                          <m:ctrlPr>
                            <w:rPr>
                              <w:rFonts w:ascii="Cambria Math" w:hAnsi="Cambria Math"/>
                              <w:i/>
                              <w:color w:val="000000"/>
                            </w:rPr>
                          </m:ctrlPr>
                        </m:den>
                      </m:f>
                      <m:ctrlPr>
                        <w:rPr>
                          <w:rFonts w:ascii="Cambria Math" w:hAnsi="Cambria Math"/>
                          <w:i/>
                          <w:color w:val="000000"/>
                        </w:rPr>
                      </m:ctrlPr>
                    </m:e>
                  </m:d>
                  <m:ctrlPr>
                    <w:rPr>
                      <w:rFonts w:ascii="Cambria Math" w:hAnsi="Cambria Math"/>
                      <w:i/>
                      <w:color w:val="000000"/>
                    </w:rPr>
                  </m:ctrlPr>
                </m:e>
                <m:sup>
                  <m:r>
                    <m:rPr/>
                    <w:rPr>
                      <w:rFonts w:ascii="Cambria Math" w:hAnsi="Cambria Math"/>
                      <w:color w:val="000000"/>
                    </w:rPr>
                    <m:t>2</m:t>
                  </m:r>
                  <m:ctrlPr>
                    <w:rPr>
                      <w:rFonts w:ascii="Cambria Math" w:hAnsi="Cambria Math"/>
                      <w:i/>
                      <w:color w:val="000000"/>
                    </w:rPr>
                  </m:ctrlPr>
                </m:sup>
              </m:sSup>
            </m:oMath>
            <w:r>
              <w:rPr>
                <w:color w:val="000000"/>
              </w:rPr>
              <w:t xml:space="preserve">, </w:t>
            </w:r>
          </w:p>
          <w:p>
            <w:pPr>
              <w:numPr>
                <w:ilvl w:val="255"/>
                <w:numId w:val="0"/>
              </w:numPr>
              <w:spacing w:before="120" w:line="280" w:lineRule="atLeast"/>
              <w:rPr>
                <w:rFonts w:hAnsi="Cambria Math" w:cs="Arial"/>
                <w:color w:val="000000" w:themeColor="text1"/>
                <w:lang w:val="en-US" w:eastAsia="zh-CN"/>
                <w14:textFill>
                  <w14:solidFill>
                    <w14:schemeClr w14:val="tx1"/>
                  </w14:solidFill>
                </w14:textFill>
              </w:rPr>
            </w:pPr>
            <w:r>
              <w:t xml:space="preserve">where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ctrlPr>
                        <w:rPr>
                          <w:rFonts w:ascii="Cambria Math" w:hAnsi="Cambria Math"/>
                        </w:rPr>
                      </m:ctrlPr>
                    </m:e>
                  </m:acc>
                  <m:ctrlPr>
                    <w:rPr>
                      <w:rFonts w:ascii="Cambria Math" w:hAnsi="Cambria Math"/>
                    </w:rPr>
                  </m:ctrlPr>
                </m:e>
                <m:sub>
                  <m:r>
                    <m:rPr/>
                    <w:rPr>
                      <w:rFonts w:ascii="Cambria Math" w:hAnsi="Cambria Math"/>
                    </w:rPr>
                    <m:t>k</m:t>
                  </m:r>
                  <m:ctrlPr>
                    <w:rPr>
                      <w:rFonts w:ascii="Cambria Math" w:hAnsi="Cambria Math"/>
                    </w:rPr>
                  </m:ctrlPr>
                </m:sub>
              </m:sSub>
            </m:oMath>
            <w:r>
              <w:t xml:space="preserve"> is the predicted precoder represented by predicted PMI for </w:t>
            </w:r>
            <m:oMath>
              <m:r>
                <m:rPr/>
                <w:rPr>
                  <w:rFonts w:ascii="Cambria Math" w:hAnsi="Cambria Math"/>
                </w:rPr>
                <m:t>k</m:t>
              </m:r>
            </m:oMath>
            <w:r>
              <w:t xml:space="preserve">-th layer, averaged over all the subbands configured by </w:t>
            </w:r>
            <w:r>
              <w:rPr>
                <w:i/>
                <w:iCs/>
              </w:rPr>
              <w:t>csi-ReportingBand</w:t>
            </w:r>
            <w:r>
              <w:t xml:space="preserve">, and for </w:t>
            </w:r>
            <m:oMath>
              <m:r>
                <m:rPr/>
                <w:rPr>
                  <w:rFonts w:ascii="Cambria Math" w:hAnsi="Cambria Math"/>
                </w:rPr>
                <m:t>S</m:t>
              </m:r>
            </m:oMath>
            <w:r>
              <w:t xml:space="preserve">-th time instance corresponding to the report of the first Reporting Setting, </w:t>
            </w:r>
            <m:oMath>
              <m:sSub>
                <m:sSubPr>
                  <m:ctrlPr>
                    <w:rPr>
                      <w:rFonts w:ascii="Cambria Math" w:hAnsi="Cambria Math"/>
                      <w:i/>
                      <w:color w:val="000000"/>
                    </w:rPr>
                  </m:ctrlPr>
                </m:sSubPr>
                <m:e>
                  <m:r>
                    <m:rPr>
                      <m:sty m:val="bi"/>
                    </m:rPr>
                    <w:rPr>
                      <w:rFonts w:ascii="Cambria Math" w:hAnsi="Cambria Math"/>
                      <w:color w:val="000000"/>
                    </w:rPr>
                    <m:t>w</m:t>
                  </m:r>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Sub>
            </m:oMath>
            <w:r>
              <w:t xml:space="preserve"> is the precoder represented by non-predicted PMI for </w:t>
            </w:r>
            <m:oMath>
              <m:r>
                <m:rPr/>
                <w:rPr>
                  <w:rFonts w:ascii="Cambria Math" w:hAnsi="Cambria Math"/>
                </w:rPr>
                <m:t>k</m:t>
              </m:r>
            </m:oMath>
            <w:r>
              <w:t xml:space="preserve">-th layer, averaged over all the subbands configured by </w:t>
            </w:r>
            <w:r>
              <w:rPr>
                <w:i/>
                <w:iCs/>
              </w:rPr>
              <w:t>csi-ReportingBand</w:t>
            </w:r>
            <w:r>
              <w:t xml:space="preserve">, based on the channel measurement corresponding to the second Reporting Setting, and </w:t>
            </w:r>
            <m:oMath>
              <m:sSub>
                <m:sSubPr>
                  <m:ctrlPr>
                    <w:rPr>
                      <w:rFonts w:ascii="Cambria Math" w:hAnsi="Cambria Math"/>
                      <w:i/>
                      <w:color w:val="000000"/>
                    </w:rPr>
                  </m:ctrlPr>
                </m:sSubPr>
                <m:e>
                  <m:acc>
                    <m:accPr>
                      <m:ctrlPr>
                        <w:rPr>
                          <w:rFonts w:ascii="Cambria Math" w:hAnsi="Cambria Math"/>
                          <w:i/>
                          <w:color w:val="000000"/>
                        </w:rPr>
                      </m:ctrlPr>
                    </m:accPr>
                    <m:e>
                      <m:r>
                        <m:rPr>
                          <m:sty m:val="bi"/>
                        </m:rPr>
                        <w:rPr>
                          <w:rFonts w:ascii="Cambria Math" w:hAnsi="Cambria Math"/>
                          <w:color w:val="000000"/>
                        </w:rPr>
                        <m:t>w</m:t>
                      </m:r>
                      <m:ctrlPr>
                        <w:rPr>
                          <w:rFonts w:ascii="Cambria Math" w:hAnsi="Cambria Math"/>
                          <w:i/>
                          <w:color w:val="000000"/>
                        </w:rPr>
                      </m:ctrlPr>
                    </m:e>
                  </m:acc>
                  <m:ctrlPr>
                    <w:rPr>
                      <w:rFonts w:ascii="Cambria Math" w:hAnsi="Cambria Math"/>
                      <w:i/>
                      <w:color w:val="000000"/>
                    </w:rPr>
                  </m:ctrlPr>
                </m:e>
                <m:sub>
                  <m:r>
                    <m:rPr/>
                    <w:rPr>
                      <w:rFonts w:ascii="Cambria Math" w:hAnsi="Cambria Math"/>
                      <w:color w:val="000000"/>
                    </w:rPr>
                    <m:t>k</m:t>
                  </m:r>
                  <m:ctrlPr>
                    <w:rPr>
                      <w:rFonts w:ascii="Cambria Math" w:hAnsi="Cambria Math"/>
                      <w:i/>
                      <w:color w:val="000000"/>
                    </w:rPr>
                  </m:ctrlPr>
                </m:sub>
              </m:sSub>
            </m:oMath>
            <w:r>
              <w:t xml:space="preserve"> is the precoder represented by PMI for </w:t>
            </w:r>
            <m:oMath>
              <m:r>
                <m:rPr/>
                <w:rPr>
                  <w:rFonts w:ascii="Cambria Math" w:hAnsi="Cambria Math"/>
                </w:rPr>
                <m:t>k</m:t>
              </m:r>
            </m:oMath>
            <w:r>
              <w:t xml:space="preserve">-th layer, averaged over all the subbands configured by </w:t>
            </w:r>
            <w:r>
              <w:rPr>
                <w:i/>
                <w:iCs/>
              </w:rPr>
              <w:t>csi-ReportingBand</w:t>
            </w:r>
            <w:r>
              <w:t>, based on the latest CSI-RS resource transmission occasion, no later than CSI reference resource, corresponding to the report of the first Reporting Setting.</w:t>
            </w:r>
          </w:p>
        </w:tc>
      </w:tr>
    </w:tbl>
    <w:p>
      <w:pPr>
        <w:rPr>
          <w:b/>
          <w:bCs/>
          <w:color w:val="000000" w:themeColor="text1"/>
          <w:lang w:val="en-US" w:eastAsia="zh-CN"/>
          <w14:textFill>
            <w14:solidFill>
              <w14:schemeClr w14:val="tx1"/>
            </w14:solidFill>
          </w14:textFill>
        </w:rPr>
      </w:pP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Reason for change:</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The ambiguity of SGCS definition is observed between these two agreements regarding the frequency-domain granularity. The agreement in RAN1#120b clearly states that the SGCS is determined on a subband level, while the agreement in RAN1#121 meeting states that the SGCS report is generated on a wideband level. As far as we are concerned, the two agreement</w:t>
      </w:r>
      <w:r>
        <w:rPr>
          <w:color w:val="000000" w:themeColor="text1"/>
          <w:lang w:val="en-US" w:eastAsia="zh-CN"/>
          <w14:textFill>
            <w14:solidFill>
              <w14:schemeClr w14:val="tx1"/>
            </w14:solidFill>
          </w14:textFill>
        </w:rPr>
        <w:t>s</w:t>
      </w:r>
      <w:r>
        <w:rPr>
          <w:rFonts w:hint="eastAsia"/>
          <w:color w:val="000000" w:themeColor="text1"/>
          <w:lang w:val="en-US" w:eastAsia="zh-CN"/>
          <w14:textFill>
            <w14:solidFill>
              <w14:schemeClr w14:val="tx1"/>
            </w14:solidFill>
          </w14:textFill>
        </w:rPr>
        <w:t xml:space="preserve"> have no ambiguity since the first one is related to the definition of a SGCS and the second one is related to the SGCS report. And the specification should capture both agreements with no conflicts. However, as can be concluded from the latest TS 38.214, t</w:t>
      </w:r>
      <w:r>
        <w:rPr>
          <w:rFonts w:hint="eastAsia" w:hAnsi="Cambria Math" w:cs="Arial"/>
          <w:color w:val="000000" w:themeColor="text1"/>
          <w:lang w:val="en-US" w:eastAsia="zh-CN"/>
          <w14:textFill>
            <w14:solidFill>
              <w14:schemeClr w14:val="tx1"/>
            </w14:solidFill>
          </w14:textFill>
        </w:rPr>
        <w:t xml:space="preserve">he definition of </w:t>
      </w:r>
      <m:oMath>
        <m:sSubSup>
          <m:sSubSupPr>
            <m:ctrlPr>
              <w:rPr>
                <w:rFonts w:ascii="Cambria Math" w:hAnsi="Cambria Math"/>
                <w:i/>
                <w:color w:val="000000"/>
                <w:lang w:val="en-US"/>
              </w:rPr>
            </m:ctrlPr>
          </m:sSubSupPr>
          <m:e>
            <m:r>
              <m:rPr/>
              <w:rPr>
                <w:rFonts w:ascii="Cambria Math" w:hAnsi="Cambria Math"/>
                <w:color w:val="000000"/>
                <w:lang w:val="en-US"/>
              </w:rPr>
              <m:t>SGCS</m:t>
            </m:r>
            <m:ctrlPr>
              <w:rPr>
                <w:rFonts w:ascii="Cambria Math" w:hAnsi="Cambria Math"/>
                <w:i/>
                <w:color w:val="000000"/>
                <w:lang w:val="en-US"/>
              </w:rPr>
            </m:ctrlPr>
          </m:e>
          <m:sub>
            <m:r>
              <m:rPr/>
              <w:rPr>
                <w:rFonts w:ascii="Cambria Math" w:hAnsi="Cambria Math"/>
                <w:color w:val="000000"/>
                <w:lang w:val="en-US"/>
              </w:rPr>
              <m:t>k</m:t>
            </m:r>
            <m:ctrlPr>
              <w:rPr>
                <w:rFonts w:ascii="Cambria Math" w:hAnsi="Cambria Math"/>
                <w:i/>
                <w:color w:val="000000"/>
                <w:lang w:val="en-US"/>
              </w:rPr>
            </m:ctrlPr>
          </m:sub>
          <m:sup>
            <m:r>
              <m:rPr/>
              <w:rPr>
                <w:rFonts w:ascii="Cambria Math" w:hAnsi="Cambria Math"/>
                <w:color w:val="000000"/>
                <w:lang w:val="en-US" w:eastAsia="zh-CN"/>
              </w:rPr>
              <m:t>i</m:t>
            </m:r>
            <m:ctrlPr>
              <w:rPr>
                <w:rFonts w:ascii="Cambria Math" w:hAnsi="Cambria Math"/>
                <w:i/>
                <w:color w:val="000000"/>
                <w:lang w:val="en-US"/>
              </w:rPr>
            </m:ctrlPr>
          </m:sup>
        </m:sSubSup>
      </m:oMath>
      <w:r>
        <w:rPr>
          <w:rFonts w:hint="eastAsia" w:hAnsi="Cambria Math"/>
          <w:color w:val="000000"/>
          <w:lang w:val="en-US" w:eastAsia="zh-CN"/>
        </w:rPr>
        <w:t xml:space="preserve"> is not aligned with the agreement made in RAN1#120b meeting for the definition of SGCS because of the ambiguity in defining a wideband SGCS. In such cases, </w:t>
      </w:r>
      <w:r>
        <w:rPr>
          <w:rFonts w:hint="eastAsia"/>
          <w:color w:val="000000" w:themeColor="text1"/>
          <w:lang w:val="en-US" w:eastAsia="zh-CN"/>
          <w14:textFill>
            <w14:solidFill>
              <w14:schemeClr w14:val="tx1"/>
            </w14:solidFill>
          </w14:textFill>
        </w:rPr>
        <w:t>two different interpretations can be obtained regarding how to determine the wideband SGCS, including,</w:t>
      </w:r>
    </w:p>
    <w:p>
      <w:pPr>
        <w:numPr>
          <w:ilvl w:val="0"/>
          <w:numId w:val="23"/>
        </w:num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Option 1: Determine the SGCS firstly as RAN1#120b agreement states, i.e., determining a SGCS per layer, per subband and per prediction instance. Then determine the wideband SGCS report by combining the subband SGCS. The SGCS report is then defined as follows:</w:t>
      </w:r>
    </w:p>
    <w:p>
      <w:pPr>
        <w:rPr>
          <w:rFonts w:hAnsi="Cambria Math" w:cs="Arial"/>
          <w:color w:val="000000" w:themeColor="text1"/>
          <w:lang w:val="en-US" w:eastAsia="zh-CN"/>
          <w14:textFill>
            <w14:solidFill>
              <w14:schemeClr w14:val="tx1"/>
            </w14:solidFill>
          </w14:textFill>
        </w:rPr>
      </w:pPr>
      <m:oMathPara>
        <m:oMath>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lang w:val="en-US" w:eastAsia="zh-CN"/>
                  <w14:textFill>
                    <w14:solidFill>
                      <w14:schemeClr w14:val="tx1"/>
                    </w14:solidFill>
                  </w14:textFill>
                </w:rPr>
                <m:t>SGCS</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lang w:val="en-US" w:eastAsia="zh-CN"/>
                  <w14:textFill>
                    <w14:solidFill>
                      <w14:schemeClr w14:val="tx1"/>
                    </w14:solidFill>
                  </w14:textFill>
                </w:rPr>
                <m:t>report</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m:t>
          </m:r>
          <m:nary>
            <m:naryPr>
              <m:chr m:val="∑"/>
              <m:limLoc m:val="undOvr"/>
              <m:supHide m:val="1"/>
              <m:ctrlPr>
                <w:rPr>
                  <w:rFonts w:ascii="Cambria Math" w:hAnsi="Cambria Math" w:cs="Arial"/>
                  <w:i/>
                  <w:color w:val="000000" w:themeColor="text1"/>
                  <w14:textFill>
                    <w14:solidFill>
                      <w14:schemeClr w14:val="tx1"/>
                    </w14:solidFill>
                  </w14:textFill>
                </w:rPr>
              </m:ctrlPr>
            </m:naryPr>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b>
            <m:sup>
              <m:ctrlPr>
                <w:rPr>
                  <w:rFonts w:ascii="Cambria Math" w:hAnsi="Cambria Math" w:cs="Arial"/>
                  <w:i/>
                  <w:color w:val="000000" w:themeColor="text1"/>
                  <w14:textFill>
                    <w14:solidFill>
                      <w14:schemeClr w14:val="tx1"/>
                    </w14:solidFill>
                  </w14:textFill>
                </w:rPr>
              </m:ctrlPr>
            </m:sup>
            <m:e>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lang w:val="en-US" w:eastAsia="zh-CN"/>
                      <w14:textFill>
                        <w14:solidFill>
                          <w14:schemeClr w14:val="tx1"/>
                        </w14:solidFill>
                      </w14:textFill>
                    </w:rPr>
                    <m:t>p</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b>
              </m:sSub>
              <m:sSup>
                <m:sSupPr>
                  <m:ctrlPr>
                    <w:rPr>
                      <w:rFonts w:ascii="Cambria Math" w:hAnsi="Cambria Math" w:cs="Arial"/>
                      <w:i/>
                      <w:color w:val="000000" w:themeColor="text1"/>
                      <w14:textFill>
                        <w14:solidFill>
                          <w14:schemeClr w14:val="tx1"/>
                        </w14:solidFill>
                      </w14:textFill>
                    </w:rPr>
                  </m:ctrlPr>
                </m:sSupPr>
                <m:e>
                  <m:d>
                    <m:dPr>
                      <m:ctrlPr>
                        <w:rPr>
                          <w:rFonts w:ascii="Cambria Math" w:hAnsi="Cambria Math" w:cs="Arial"/>
                          <w:i/>
                          <w:color w:val="000000" w:themeColor="text1"/>
                          <w14:textFill>
                            <w14:solidFill>
                              <w14:schemeClr w14:val="tx1"/>
                            </w14:solidFill>
                          </w14:textFill>
                        </w:rPr>
                      </m:ctrlPr>
                    </m:dPr>
                    <m:e>
                      <m:f>
                        <m:fPr>
                          <m:ctrlPr>
                            <w:rPr>
                              <w:rFonts w:ascii="Cambria Math" w:hAnsi="Cambria Math" w:cs="Arial"/>
                              <w:i/>
                              <w:color w:val="000000" w:themeColor="text1"/>
                              <w14:textFill>
                                <w14:solidFill>
                                  <w14:schemeClr w14:val="tx1"/>
                                </w14:solidFill>
                              </w14:textFill>
                            </w:rPr>
                          </m:ctrlPr>
                        </m:fPr>
                        <m:num>
                          <m:d>
                            <m:dPr>
                              <m:begChr m:val="‖"/>
                              <m:endChr m:val="‖"/>
                              <m:ctrlPr>
                                <w:rPr>
                                  <w:rFonts w:ascii="Cambria Math" w:hAnsi="Cambria Math" w:cs="Arial"/>
                                  <w:i/>
                                  <w:color w:val="000000" w:themeColor="text1"/>
                                  <w14:textFill>
                                    <w14:solidFill>
                                      <w14:schemeClr w14:val="tx1"/>
                                    </w14:solidFill>
                                  </w14:textFill>
                                </w:rPr>
                              </m:ctrlPr>
                            </m:dPr>
                            <m:e>
                              <m:sSup>
                                <m:sSupPr>
                                  <m:ctrlPr>
                                    <w:rPr>
                                      <w:rFonts w:ascii="Cambria Math" w:hAnsi="Cambria Math" w:cs="Arial"/>
                                      <w:i/>
                                      <w:color w:val="000000" w:themeColor="text1"/>
                                      <w14:textFill>
                                        <w14:solidFill>
                                          <w14:schemeClr w14:val="tx1"/>
                                        </w14:solidFill>
                                      </w14:textFill>
                                    </w:rPr>
                                  </m:ctrlPr>
                                </m:sSupPr>
                                <m:e>
                                  <m:sSubSup>
                                    <m:sSubSupPr>
                                      <m:ctrlPr>
                                        <w:rPr>
                                          <w:rFonts w:ascii="Cambria Math" w:hAnsi="Cambria Math" w:cs="Arial"/>
                                          <w:i/>
                                          <w:color w:val="000000" w:themeColor="text1"/>
                                          <w14:textFill>
                                            <w14:solidFill>
                                              <w14:schemeClr w14:val="tx1"/>
                                            </w14:solidFill>
                                          </w14:textFill>
                                        </w:rPr>
                                      </m:ctrlPr>
                                    </m:sSubSupPr>
                                    <m:e>
                                      <m:acc>
                                        <m:accPr>
                                          <m:chr m:val="̃"/>
                                          <m:ctrlPr>
                                            <w:rPr>
                                              <w:rFonts w:ascii="Cambria Math" w:hAnsi="Cambria Math" w:cs="Arial"/>
                                              <w:b/>
                                              <w:i/>
                                              <w:color w:val="000000" w:themeColor="text1"/>
                                              <w14:textFill>
                                                <w14:solidFill>
                                                  <w14:schemeClr w14:val="tx1"/>
                                                </w14:solidFill>
                                              </w14:textFill>
                                            </w:rPr>
                                          </m:ctrlPr>
                                        </m:accPr>
                                        <m:e>
                                          <m:r>
                                            <m:rPr>
                                              <m:sty m:val="bi"/>
                                            </m:rPr>
                                            <w:rPr>
                                              <w:rFonts w:ascii="Cambria Math" w:hAnsi="Cambria Math" w:cs="Arial"/>
                                              <w:color w:val="000000" w:themeColor="text1"/>
                                              <w14:textFill>
                                                <w14:solidFill>
                                                  <w14:schemeClr w14:val="tx1"/>
                                                </w14:solidFill>
                                              </w14:textFill>
                                            </w:rPr>
                                            <m:t>w</m:t>
                                          </m:r>
                                          <m:ctrlPr>
                                            <w:rPr>
                                              <w:rFonts w:ascii="Cambria Math" w:hAnsi="Cambria Math" w:cs="Arial"/>
                                              <w:b/>
                                              <w:i/>
                                              <w:color w:val="000000" w:themeColor="text1"/>
                                              <w14:textFill>
                                                <w14:solidFill>
                                                  <w14:schemeClr w14:val="tx1"/>
                                                </w14:solidFill>
                                              </w14:textFill>
                                            </w:rPr>
                                          </m:ctrlPr>
                                        </m:e>
                                      </m:acc>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14:textFill>
                                            <w14:solidFill>
                                              <w14:schemeClr w14:val="tx1"/>
                                            </w14:solidFill>
                                          </w14:textFill>
                                        </w:rPr>
                                      </m:ctrlPr>
                                    </m:sub>
                                    <m:sup>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p>
                                  </m:sSubSup>
                                  <m:ctrlPr>
                                    <w:rPr>
                                      <w:rFonts w:ascii="Cambria Math" w:hAnsi="Cambria Math" w:cs="Arial"/>
                                      <w:i/>
                                      <w:color w:val="000000" w:themeColor="text1"/>
                                      <w14:textFill>
                                        <w14:solidFill>
                                          <w14:schemeClr w14:val="tx1"/>
                                        </w14:solidFill>
                                      </w14:textFill>
                                    </w:rPr>
                                  </m:ctrlPr>
                                </m:e>
                                <m:sup>
                                  <m:r>
                                    <m:rPr/>
                                    <w:rPr>
                                      <w:rFonts w:ascii="Cambria Math" w:hAnsi="Cambria Math" w:cs="Arial"/>
                                      <w:color w:val="000000" w:themeColor="text1"/>
                                      <w14:textFill>
                                        <w14:solidFill>
                                          <w14:schemeClr w14:val="tx1"/>
                                        </w14:solidFill>
                                      </w14:textFill>
                                    </w:rPr>
                                    <m:t>H</m:t>
                                  </m:r>
                                  <m:ctrlPr>
                                    <w:rPr>
                                      <w:rFonts w:ascii="Cambria Math" w:hAnsi="Cambria Math" w:cs="Arial"/>
                                      <w:i/>
                                      <w:color w:val="000000" w:themeColor="text1"/>
                                      <w14:textFill>
                                        <w14:solidFill>
                                          <w14:schemeClr w14:val="tx1"/>
                                        </w14:solidFill>
                                      </w14:textFill>
                                    </w:rPr>
                                  </m:ctrlPr>
                                </m:sup>
                              </m:sSup>
                              <m:sSubSup>
                                <m:sSubSupPr>
                                  <m:ctrlPr>
                                    <w:rPr>
                                      <w:rFonts w:ascii="Cambria Math" w:hAnsi="Cambria Math" w:cs="Arial"/>
                                      <w:i/>
                                      <w:color w:val="000000" w:themeColor="text1"/>
                                      <w14:textFill>
                                        <w14:solidFill>
                                          <w14:schemeClr w14:val="tx1"/>
                                        </w14:solidFill>
                                      </w14:textFill>
                                    </w:rPr>
                                  </m:ctrlPr>
                                </m:sSubSupPr>
                                <m:e>
                                  <m:r>
                                    <m:rPr>
                                      <m:sty m:val="bi"/>
                                    </m:rPr>
                                    <w:rPr>
                                      <w:rFonts w:ascii="Cambria Math" w:hAnsi="Cambria Math" w:cs="Arial"/>
                                      <w:color w:val="000000" w:themeColor="text1"/>
                                      <w14:textFill>
                                        <w14:solidFill>
                                          <w14:schemeClr w14:val="tx1"/>
                                        </w14:solidFill>
                                      </w14:textFill>
                                    </w:rPr>
                                    <m:t>w</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14:textFill>
                                        <w14:solidFill>
                                          <w14:schemeClr w14:val="tx1"/>
                                        </w14:solidFill>
                                      </w14:textFill>
                                    </w:rPr>
                                  </m:ctrlPr>
                                </m:sub>
                                <m:sup>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p>
                              </m:sSubSup>
                              <m:ctrlPr>
                                <w:rPr>
                                  <w:rFonts w:ascii="Cambria Math" w:hAnsi="Cambria Math" w:cs="Arial"/>
                                  <w:i/>
                                  <w:color w:val="000000" w:themeColor="text1"/>
                                  <w14:textFill>
                                    <w14:solidFill>
                                      <w14:schemeClr w14:val="tx1"/>
                                    </w14:solidFill>
                                  </w14:textFill>
                                </w:rPr>
                              </m:ctrlPr>
                            </m:e>
                          </m:d>
                          <m:ctrlPr>
                            <w:rPr>
                              <w:rFonts w:ascii="Cambria Math" w:hAnsi="Cambria Math" w:cs="Arial"/>
                              <w:i/>
                              <w:color w:val="000000" w:themeColor="text1"/>
                              <w14:textFill>
                                <w14:solidFill>
                                  <w14:schemeClr w14:val="tx1"/>
                                </w14:solidFill>
                              </w14:textFill>
                            </w:rPr>
                          </m:ctrlPr>
                        </m:num>
                        <m:den>
                          <m:d>
                            <m:dPr>
                              <m:begChr m:val="‖"/>
                              <m:endChr m:val="‖"/>
                              <m:ctrlPr>
                                <w:rPr>
                                  <w:rFonts w:ascii="Cambria Math" w:hAnsi="Cambria Math" w:cs="Arial"/>
                                  <w:i/>
                                  <w:color w:val="000000" w:themeColor="text1"/>
                                  <w14:textFill>
                                    <w14:solidFill>
                                      <w14:schemeClr w14:val="tx1"/>
                                    </w14:solidFill>
                                  </w14:textFill>
                                </w:rPr>
                              </m:ctrlPr>
                            </m:dPr>
                            <m:e>
                              <m:sSubSup>
                                <m:sSubSupPr>
                                  <m:ctrlPr>
                                    <w:rPr>
                                      <w:rFonts w:ascii="Cambria Math" w:hAnsi="Cambria Math" w:cs="Arial"/>
                                      <w:i/>
                                      <w:color w:val="000000" w:themeColor="text1"/>
                                      <w14:textFill>
                                        <w14:solidFill>
                                          <w14:schemeClr w14:val="tx1"/>
                                        </w14:solidFill>
                                      </w14:textFill>
                                    </w:rPr>
                                  </m:ctrlPr>
                                </m:sSubSupPr>
                                <m:e>
                                  <m:acc>
                                    <m:accPr>
                                      <m:chr m:val="̃"/>
                                      <m:ctrlPr>
                                        <w:rPr>
                                          <w:rFonts w:ascii="Cambria Math" w:hAnsi="Cambria Math" w:cs="Arial"/>
                                          <w:b/>
                                          <w:i/>
                                          <w:color w:val="000000" w:themeColor="text1"/>
                                          <w14:textFill>
                                            <w14:solidFill>
                                              <w14:schemeClr w14:val="tx1"/>
                                            </w14:solidFill>
                                          </w14:textFill>
                                        </w:rPr>
                                      </m:ctrlPr>
                                    </m:accPr>
                                    <m:e>
                                      <m:r>
                                        <m:rPr>
                                          <m:sty m:val="bi"/>
                                        </m:rPr>
                                        <w:rPr>
                                          <w:rFonts w:ascii="Cambria Math" w:hAnsi="Cambria Math" w:cs="Arial"/>
                                          <w:color w:val="000000" w:themeColor="text1"/>
                                          <w14:textFill>
                                            <w14:solidFill>
                                              <w14:schemeClr w14:val="tx1"/>
                                            </w14:solidFill>
                                          </w14:textFill>
                                        </w:rPr>
                                        <m:t>w</m:t>
                                      </m:r>
                                      <m:ctrlPr>
                                        <w:rPr>
                                          <w:rFonts w:ascii="Cambria Math" w:hAnsi="Cambria Math" w:cs="Arial"/>
                                          <w:b/>
                                          <w:i/>
                                          <w:color w:val="000000" w:themeColor="text1"/>
                                          <w14:textFill>
                                            <w14:solidFill>
                                              <w14:schemeClr w14:val="tx1"/>
                                            </w14:solidFill>
                                          </w14:textFill>
                                        </w:rPr>
                                      </m:ctrlPr>
                                    </m:e>
                                  </m:acc>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14:textFill>
                                        <w14:solidFill>
                                          <w14:schemeClr w14:val="tx1"/>
                                        </w14:solidFill>
                                      </w14:textFill>
                                    </w:rPr>
                                  </m:ctrlPr>
                                </m:sub>
                                <m:sup>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p>
                              </m:sSubSup>
                              <m:ctrlPr>
                                <w:rPr>
                                  <w:rFonts w:ascii="Cambria Math" w:hAnsi="Cambria Math" w:cs="Arial"/>
                                  <w:i/>
                                  <w:color w:val="000000" w:themeColor="text1"/>
                                  <w14:textFill>
                                    <w14:solidFill>
                                      <w14:schemeClr w14:val="tx1"/>
                                    </w14:solidFill>
                                  </w14:textFill>
                                </w:rPr>
                              </m:ctrlPr>
                            </m:e>
                          </m:d>
                          <m:d>
                            <m:dPr>
                              <m:begChr m:val="‖"/>
                              <m:endChr m:val="‖"/>
                              <m:ctrlPr>
                                <w:rPr>
                                  <w:rFonts w:ascii="Cambria Math" w:hAnsi="Cambria Math" w:cs="Arial"/>
                                  <w:i/>
                                  <w:color w:val="000000" w:themeColor="text1"/>
                                  <w14:textFill>
                                    <w14:solidFill>
                                      <w14:schemeClr w14:val="tx1"/>
                                    </w14:solidFill>
                                  </w14:textFill>
                                </w:rPr>
                              </m:ctrlPr>
                            </m:dPr>
                            <m:e>
                              <m:sSubSup>
                                <m:sSubSupPr>
                                  <m:ctrlPr>
                                    <w:rPr>
                                      <w:rFonts w:ascii="Cambria Math" w:hAnsi="Cambria Math" w:cs="Arial"/>
                                      <w:i/>
                                      <w:color w:val="000000" w:themeColor="text1"/>
                                      <w14:textFill>
                                        <w14:solidFill>
                                          <w14:schemeClr w14:val="tx1"/>
                                        </w14:solidFill>
                                      </w14:textFill>
                                    </w:rPr>
                                  </m:ctrlPr>
                                </m:sSubSupPr>
                                <m:e>
                                  <m:r>
                                    <m:rPr>
                                      <m:sty m:val="bi"/>
                                    </m:rPr>
                                    <w:rPr>
                                      <w:rFonts w:ascii="Cambria Math" w:hAnsi="Cambria Math" w:cs="Arial"/>
                                      <w:color w:val="000000" w:themeColor="text1"/>
                                      <w14:textFill>
                                        <w14:solidFill>
                                          <w14:schemeClr w14:val="tx1"/>
                                        </w14:solidFill>
                                      </w14:textFill>
                                    </w:rPr>
                                    <m:t>w</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14:textFill>
                                        <w14:solidFill>
                                          <w14:schemeClr w14:val="tx1"/>
                                        </w14:solidFill>
                                      </w14:textFill>
                                    </w:rPr>
                                  </m:ctrlPr>
                                </m:sub>
                                <m:sup>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p>
                              </m:sSubSup>
                              <m:ctrlPr>
                                <w:rPr>
                                  <w:rFonts w:ascii="Cambria Math" w:hAnsi="Cambria Math" w:cs="Arial"/>
                                  <w:i/>
                                  <w:color w:val="000000" w:themeColor="text1"/>
                                  <w14:textFill>
                                    <w14:solidFill>
                                      <w14:schemeClr w14:val="tx1"/>
                                    </w14:solidFill>
                                  </w14:textFill>
                                </w:rPr>
                              </m:ctrlPr>
                            </m:e>
                          </m:d>
                          <m:ctrlPr>
                            <w:rPr>
                              <w:rFonts w:ascii="Cambria Math" w:hAnsi="Cambria Math" w:cs="Arial"/>
                              <w:i/>
                              <w:color w:val="000000" w:themeColor="text1"/>
                              <w14:textFill>
                                <w14:solidFill>
                                  <w14:schemeClr w14:val="tx1"/>
                                </w14:solidFill>
                              </w14:textFill>
                            </w:rPr>
                          </m:ctrlPr>
                        </m:den>
                      </m:f>
                      <m:ctrlPr>
                        <w:rPr>
                          <w:rFonts w:ascii="Cambria Math" w:hAnsi="Cambria Math" w:cs="Arial"/>
                          <w:i/>
                          <w:color w:val="000000" w:themeColor="text1"/>
                          <w14:textFill>
                            <w14:solidFill>
                              <w14:schemeClr w14:val="tx1"/>
                            </w14:solidFill>
                          </w14:textFill>
                        </w:rPr>
                      </m:ctrlPr>
                    </m:e>
                  </m:d>
                  <m:ctrlPr>
                    <w:rPr>
                      <w:rFonts w:ascii="Cambria Math" w:hAnsi="Cambria Math" w:cs="Arial"/>
                      <w:i/>
                      <w:color w:val="000000" w:themeColor="text1"/>
                      <w14:textFill>
                        <w14:solidFill>
                          <w14:schemeClr w14:val="tx1"/>
                        </w14:solidFill>
                      </w14:textFill>
                    </w:rPr>
                  </m:ctrlPr>
                </m:e>
                <m:sup>
                  <m:r>
                    <m:rPr/>
                    <w:rPr>
                      <w:rFonts w:ascii="Cambria Math" w:hAnsi="Cambria Math" w:cs="Arial"/>
                      <w:color w:val="000000" w:themeColor="text1"/>
                      <w14:textFill>
                        <w14:solidFill>
                          <w14:schemeClr w14:val="tx1"/>
                        </w14:solidFill>
                      </w14:textFill>
                    </w:rPr>
                    <m:t>2</m:t>
                  </m:r>
                  <m:ctrlPr>
                    <w:rPr>
                      <w:rFonts w:ascii="Cambria Math" w:hAnsi="Cambria Math" w:cs="Arial"/>
                      <w:i/>
                      <w:color w:val="000000" w:themeColor="text1"/>
                      <w14:textFill>
                        <w14:solidFill>
                          <w14:schemeClr w14:val="tx1"/>
                        </w14:solidFill>
                      </w14:textFill>
                    </w:rPr>
                  </m:ctrlPr>
                </m:sup>
              </m:sSup>
              <m:ctrlPr>
                <w:rPr>
                  <w:rFonts w:ascii="Cambria Math" w:hAnsi="Cambria Math" w:cs="Arial"/>
                  <w:i/>
                  <w:color w:val="000000" w:themeColor="text1"/>
                  <w14:textFill>
                    <w14:solidFill>
                      <w14:schemeClr w14:val="tx1"/>
                    </w14:solidFill>
                  </w14:textFill>
                </w:rPr>
              </m:ctrlPr>
            </m:e>
          </m:nary>
          <m:r>
            <m:rPr/>
            <w:rPr>
              <w:rFonts w:ascii="Cambria Math" w:hAnsi="Cambria Math" w:cs="Arial"/>
              <w:color w:val="000000" w:themeColor="text1"/>
              <w:lang w:val="en-US" w:eastAsia="zh-CN"/>
              <w14:textFill>
                <w14:solidFill>
                  <w14:schemeClr w14:val="tx1"/>
                </w14:solidFill>
              </w14:textFill>
            </w:rPr>
            <m:t>,</m:t>
          </m:r>
        </m:oMath>
      </m:oMathPara>
    </w:p>
    <w:p>
      <w:pPr>
        <w:ind w:left="400" w:leftChars="200"/>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 xml:space="preserve">where the weight vector </w:t>
      </w:r>
      <m:oMath>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lang w:val="en-US" w:eastAsia="zh-CN"/>
                <w14:textFill>
                  <w14:solidFill>
                    <w14:schemeClr w14:val="tx1"/>
                  </w14:solidFill>
                </w14:textFill>
              </w:rPr>
              <m:t>p</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b>
        </m:sSub>
      </m:oMath>
      <w:r>
        <w:rPr>
          <w:rFonts w:hint="eastAsia" w:hAnsi="Cambria Math" w:cs="Arial"/>
          <w:color w:val="000000" w:themeColor="text1"/>
          <w:lang w:val="en-US" w:eastAsia="zh-CN"/>
          <w14:textFill>
            <w14:solidFill>
              <w14:schemeClr w14:val="tx1"/>
            </w14:solidFill>
          </w14:textFill>
        </w:rPr>
        <w:t xml:space="preserve"> can be configured by the gNB or can be fixed, such as </w:t>
      </w:r>
      <m:oMath>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lang w:val="en-US" w:eastAsia="zh-CN"/>
                <w14:textFill>
                  <w14:solidFill>
                    <w14:schemeClr w14:val="tx1"/>
                  </w14:solidFill>
                </w14:textFill>
              </w:rPr>
              <m:t>p</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lang w:val="en-US" w:eastAsia="zh-CN"/>
            <w14:textFill>
              <w14:solidFill>
                <w14:schemeClr w14:val="tx1"/>
              </w14:solidFill>
            </w14:textFill>
          </w:rPr>
          <m:t>=1/N</m:t>
        </m:r>
      </m:oMath>
      <w:r>
        <w:rPr>
          <w:rFonts w:hint="eastAsia" w:hAnsi="Cambria Math" w:cs="Arial"/>
          <w:color w:val="000000" w:themeColor="text1"/>
          <w:lang w:val="en-US" w:eastAsia="zh-CN"/>
          <w14:textFill>
            <w14:solidFill>
              <w14:schemeClr w14:val="tx1"/>
            </w14:solidFill>
          </w14:textFill>
        </w:rPr>
        <w:t xml:space="preserve">, where </w:t>
      </w:r>
      <m:oMath>
        <m:r>
          <m:rPr/>
          <w:rPr>
            <w:rFonts w:ascii="Cambria Math" w:hAnsi="Cambria Math" w:cs="Arial"/>
            <w:color w:val="000000" w:themeColor="text1"/>
            <w:lang w:val="en-US" w:eastAsia="zh-CN"/>
            <w14:textFill>
              <w14:solidFill>
                <w14:schemeClr w14:val="tx1"/>
              </w14:solidFill>
            </w14:textFill>
          </w:rPr>
          <m:t>N</m:t>
        </m:r>
      </m:oMath>
      <w:r>
        <w:rPr>
          <w:rFonts w:hint="eastAsia" w:hAnsi="Cambria Math" w:cs="Arial"/>
          <w:color w:val="000000" w:themeColor="text1"/>
          <w:lang w:val="en-US" w:eastAsia="zh-CN"/>
          <w14:textFill>
            <w14:solidFill>
              <w14:schemeClr w14:val="tx1"/>
            </w14:solidFill>
          </w14:textFill>
        </w:rPr>
        <w:t xml:space="preserve"> denotes the number of subbands UE decides to generate a wideband SGCS report.</w:t>
      </w:r>
    </w:p>
    <w:p>
      <w:pPr>
        <w:numPr>
          <w:ilvl w:val="0"/>
          <w:numId w:val="23"/>
        </w:numPr>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Option 2: Determine a precoder per layer, per subband and per prediction instance. Then determine the wideband SGCS report by firstly determining a wideband precoder and then the wideband SGCS. The SGCS report is then defined as follows:</w:t>
      </w:r>
    </w:p>
    <w:p>
      <w:pPr>
        <w:numPr>
          <w:ilvl w:val="255"/>
          <w:numId w:val="0"/>
        </w:numPr>
        <w:rPr>
          <w:rFonts w:hAnsi="Cambria Math" w:cs="Arial"/>
          <w:color w:val="000000" w:themeColor="text1"/>
          <w:lang w:val="en-US" w:eastAsia="zh-CN"/>
          <w14:textFill>
            <w14:solidFill>
              <w14:schemeClr w14:val="tx1"/>
            </w14:solidFill>
          </w14:textFill>
        </w:rPr>
      </w:pPr>
      <m:oMathPara>
        <m:oMath>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lang w:val="en-US" w:eastAsia="zh-CN"/>
                  <w14:textFill>
                    <w14:solidFill>
                      <w14:schemeClr w14:val="tx1"/>
                    </w14:solidFill>
                  </w14:textFill>
                </w:rPr>
                <m:t>SGCS</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lang w:val="en-US" w:eastAsia="zh-CN"/>
                  <w14:textFill>
                    <w14:solidFill>
                      <w14:schemeClr w14:val="tx1"/>
                    </w14:solidFill>
                  </w14:textFill>
                </w:rPr>
                <m:t>report</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m:t>
          </m:r>
          <m:sSup>
            <m:sSupPr>
              <m:ctrlPr>
                <w:rPr>
                  <w:rFonts w:ascii="Cambria Math" w:hAnsi="Cambria Math" w:cs="Arial"/>
                  <w:i/>
                  <w:color w:val="000000" w:themeColor="text1"/>
                  <w14:textFill>
                    <w14:solidFill>
                      <w14:schemeClr w14:val="tx1"/>
                    </w14:solidFill>
                  </w14:textFill>
                </w:rPr>
              </m:ctrlPr>
            </m:sSupPr>
            <m:e>
              <m:d>
                <m:dPr>
                  <m:ctrlPr>
                    <w:rPr>
                      <w:rFonts w:ascii="Cambria Math" w:hAnsi="Cambria Math" w:cs="Arial"/>
                      <w:i/>
                      <w:color w:val="000000" w:themeColor="text1"/>
                      <w14:textFill>
                        <w14:solidFill>
                          <w14:schemeClr w14:val="tx1"/>
                        </w14:solidFill>
                      </w14:textFill>
                    </w:rPr>
                  </m:ctrlPr>
                </m:dPr>
                <m:e>
                  <m:f>
                    <m:fPr>
                      <m:ctrlPr>
                        <w:rPr>
                          <w:rFonts w:ascii="Cambria Math" w:hAnsi="Cambria Math" w:cs="Arial"/>
                          <w:i/>
                          <w:color w:val="000000" w:themeColor="text1"/>
                          <w14:textFill>
                            <w14:solidFill>
                              <w14:schemeClr w14:val="tx1"/>
                            </w14:solidFill>
                          </w14:textFill>
                        </w:rPr>
                      </m:ctrlPr>
                    </m:fPr>
                    <m:num>
                      <m:d>
                        <m:dPr>
                          <m:begChr m:val="‖"/>
                          <m:endChr m:val="‖"/>
                          <m:ctrlPr>
                            <w:rPr>
                              <w:rFonts w:ascii="Cambria Math" w:hAnsi="Cambria Math" w:cs="Arial"/>
                              <w:i/>
                              <w:color w:val="000000" w:themeColor="text1"/>
                              <w14:textFill>
                                <w14:solidFill>
                                  <w14:schemeClr w14:val="tx1"/>
                                </w14:solidFill>
                              </w14:textFill>
                            </w:rPr>
                          </m:ctrlPr>
                        </m:dPr>
                        <m:e>
                          <m:sSup>
                            <m:sSupPr>
                              <m:ctrlPr>
                                <w:rPr>
                                  <w:rFonts w:ascii="Cambria Math" w:hAnsi="Cambria Math" w:cs="Arial"/>
                                  <w:i/>
                                  <w:color w:val="000000" w:themeColor="text1"/>
                                  <w14:textFill>
                                    <w14:solidFill>
                                      <w14:schemeClr w14:val="tx1"/>
                                    </w14:solidFill>
                                  </w14:textFill>
                                </w:rPr>
                              </m:ctrlPr>
                            </m:sSupPr>
                            <m:e>
                              <m:sSub>
                                <m:sSubPr>
                                  <m:ctrlPr>
                                    <w:rPr>
                                      <w:rFonts w:ascii="Cambria Math" w:hAnsi="Cambria Math" w:cs="Arial"/>
                                      <w:i/>
                                      <w:color w:val="000000" w:themeColor="text1"/>
                                      <w:lang w:val="en-US"/>
                                      <w14:textFill>
                                        <w14:solidFill>
                                          <w14:schemeClr w14:val="tx1"/>
                                        </w14:solidFill>
                                      </w14:textFill>
                                    </w:rPr>
                                  </m:ctrlPr>
                                </m:sSubPr>
                                <m:e>
                                  <m:acc>
                                    <m:accPr>
                                      <m:chr m:val="̃"/>
                                      <m:ctrlPr>
                                        <w:rPr>
                                          <w:rFonts w:ascii="Cambria Math" w:hAnsi="Cambria Math" w:cs="Arial"/>
                                          <w:i/>
                                          <w:color w:val="000000" w:themeColor="text1"/>
                                          <w:lang w:val="en-US"/>
                                          <w14:textFill>
                                            <w14:solidFill>
                                              <w14:schemeClr w14:val="tx1"/>
                                            </w14:solidFill>
                                          </w14:textFill>
                                        </w:rPr>
                                      </m:ctrlPr>
                                    </m:accPr>
                                    <m:e>
                                      <m:r>
                                        <m:rPr>
                                          <m:sty m:val="bi"/>
                                        </m:rPr>
                                        <w:rPr>
                                          <w:rFonts w:ascii="Cambria Math" w:hAnsi="Cambria Math" w:cs="Arial"/>
                                          <w:color w:val="000000" w:themeColor="text1"/>
                                          <w:lang w:val="en-US" w:eastAsia="zh-CN"/>
                                          <w14:textFill>
                                            <w14:solidFill>
                                              <w14:schemeClr w14:val="tx1"/>
                                            </w14:solidFill>
                                          </w14:textFill>
                                        </w:rPr>
                                        <m:t>w</m:t>
                                      </m:r>
                                      <m:ctrlPr>
                                        <w:rPr>
                                          <w:rFonts w:ascii="Cambria Math" w:hAnsi="Cambria Math" w:cs="Arial"/>
                                          <w:i/>
                                          <w:color w:val="000000" w:themeColor="text1"/>
                                          <w:lang w:val="en-US"/>
                                          <w14:textFill>
                                            <w14:solidFill>
                                              <w14:schemeClr w14:val="tx1"/>
                                            </w14:solidFill>
                                          </w14:textFill>
                                        </w:rPr>
                                      </m:ctrlPr>
                                    </m:e>
                                  </m:acc>
                                  <m:ctrlPr>
                                    <w:rPr>
                                      <w:rFonts w:ascii="Cambria Math" w:hAnsi="Cambria Math" w:cs="Arial"/>
                                      <w:i/>
                                      <w:color w:val="000000" w:themeColor="text1"/>
                                      <w:lang w:val="en-US"/>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lang w:val="en-US"/>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e>
                            <m:sup>
                              <m:r>
                                <m:rPr/>
                                <w:rPr>
                                  <w:rFonts w:ascii="Cambria Math" w:hAnsi="Cambria Math" w:cs="Arial"/>
                                  <w:color w:val="000000" w:themeColor="text1"/>
                                  <w14:textFill>
                                    <w14:solidFill>
                                      <w14:schemeClr w14:val="tx1"/>
                                    </w14:solidFill>
                                  </w14:textFill>
                                </w:rPr>
                                <m:t>H</m:t>
                              </m:r>
                              <m:ctrlPr>
                                <w:rPr>
                                  <w:rFonts w:ascii="Cambria Math" w:hAnsi="Cambria Math" w:cs="Arial"/>
                                  <w:i/>
                                  <w:color w:val="000000" w:themeColor="text1"/>
                                  <w14:textFill>
                                    <w14:solidFill>
                                      <w14:schemeClr w14:val="tx1"/>
                                    </w14:solidFill>
                                  </w14:textFill>
                                </w:rPr>
                              </m:ctrlPr>
                            </m:sup>
                          </m:sSup>
                          <m:sSub>
                            <m:sSubPr>
                              <m:ctrlPr>
                                <w:rPr>
                                  <w:rFonts w:ascii="Cambria Math" w:hAnsi="Cambria Math" w:cs="Arial"/>
                                  <w:i/>
                                  <w:color w:val="000000" w:themeColor="text1"/>
                                  <w:lang w:val="en-US"/>
                                  <w14:textFill>
                                    <w14:solidFill>
                                      <w14:schemeClr w14:val="tx1"/>
                                    </w14:solidFill>
                                  </w14:textFill>
                                </w:rPr>
                              </m:ctrlPr>
                            </m:sSubPr>
                            <m:e>
                              <m:r>
                                <m:rPr>
                                  <m:sty m:val="bi"/>
                                </m:rPr>
                                <w:rPr>
                                  <w:rFonts w:ascii="Cambria Math" w:hAnsi="Cambria Math" w:cs="Arial"/>
                                  <w:color w:val="000000" w:themeColor="text1"/>
                                  <w:lang w:val="en-US" w:eastAsia="zh-CN"/>
                                  <w14:textFill>
                                    <w14:solidFill>
                                      <w14:schemeClr w14:val="tx1"/>
                                    </w14:solidFill>
                                  </w14:textFill>
                                </w:rPr>
                                <m:t>w</m:t>
                              </m:r>
                              <m:ctrlPr>
                                <w:rPr>
                                  <w:rFonts w:ascii="Cambria Math" w:hAnsi="Cambria Math" w:cs="Arial"/>
                                  <w:i/>
                                  <w:color w:val="000000" w:themeColor="text1"/>
                                  <w:lang w:val="en-US"/>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lang w:val="en-US"/>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e>
                      </m:d>
                      <m:ctrlPr>
                        <w:rPr>
                          <w:rFonts w:ascii="Cambria Math" w:hAnsi="Cambria Math" w:cs="Arial"/>
                          <w:i/>
                          <w:color w:val="000000" w:themeColor="text1"/>
                          <w14:textFill>
                            <w14:solidFill>
                              <w14:schemeClr w14:val="tx1"/>
                            </w14:solidFill>
                          </w14:textFill>
                        </w:rPr>
                      </m:ctrlPr>
                    </m:num>
                    <m:den>
                      <m:d>
                        <m:dPr>
                          <m:begChr m:val="‖"/>
                          <m:endChr m:val="‖"/>
                          <m:ctrlPr>
                            <w:rPr>
                              <w:rFonts w:ascii="Cambria Math" w:hAnsi="Cambria Math" w:cs="Arial"/>
                              <w:i/>
                              <w:color w:val="000000" w:themeColor="text1"/>
                              <w14:textFill>
                                <w14:solidFill>
                                  <w14:schemeClr w14:val="tx1"/>
                                </w14:solidFill>
                              </w14:textFill>
                            </w:rPr>
                          </m:ctrlPr>
                        </m:dPr>
                        <m:e>
                          <m:sSub>
                            <m:sSubPr>
                              <m:ctrlPr>
                                <w:rPr>
                                  <w:rFonts w:ascii="Cambria Math" w:hAnsi="Cambria Math" w:cs="Arial"/>
                                  <w:i/>
                                  <w:color w:val="000000" w:themeColor="text1"/>
                                  <w:lang w:val="en-US"/>
                                  <w14:textFill>
                                    <w14:solidFill>
                                      <w14:schemeClr w14:val="tx1"/>
                                    </w14:solidFill>
                                  </w14:textFill>
                                </w:rPr>
                              </m:ctrlPr>
                            </m:sSubPr>
                            <m:e>
                              <m:acc>
                                <m:accPr>
                                  <m:chr m:val="̃"/>
                                  <m:ctrlPr>
                                    <w:rPr>
                                      <w:rFonts w:ascii="Cambria Math" w:hAnsi="Cambria Math" w:cs="Arial"/>
                                      <w:i/>
                                      <w:color w:val="000000" w:themeColor="text1"/>
                                      <w:lang w:val="en-US"/>
                                      <w14:textFill>
                                        <w14:solidFill>
                                          <w14:schemeClr w14:val="tx1"/>
                                        </w14:solidFill>
                                      </w14:textFill>
                                    </w:rPr>
                                  </m:ctrlPr>
                                </m:accPr>
                                <m:e>
                                  <m:r>
                                    <m:rPr>
                                      <m:sty m:val="bi"/>
                                    </m:rPr>
                                    <w:rPr>
                                      <w:rFonts w:ascii="Cambria Math" w:hAnsi="Cambria Math" w:cs="Arial"/>
                                      <w:color w:val="000000" w:themeColor="text1"/>
                                      <w:lang w:val="en-US" w:eastAsia="zh-CN"/>
                                      <w14:textFill>
                                        <w14:solidFill>
                                          <w14:schemeClr w14:val="tx1"/>
                                        </w14:solidFill>
                                      </w14:textFill>
                                    </w:rPr>
                                    <m:t>w</m:t>
                                  </m:r>
                                  <m:ctrlPr>
                                    <w:rPr>
                                      <w:rFonts w:ascii="Cambria Math" w:hAnsi="Cambria Math" w:cs="Arial"/>
                                      <w:i/>
                                      <w:color w:val="000000" w:themeColor="text1"/>
                                      <w:lang w:val="en-US"/>
                                      <w14:textFill>
                                        <w14:solidFill>
                                          <w14:schemeClr w14:val="tx1"/>
                                        </w14:solidFill>
                                      </w14:textFill>
                                    </w:rPr>
                                  </m:ctrlPr>
                                </m:e>
                              </m:acc>
                              <m:ctrlPr>
                                <w:rPr>
                                  <w:rFonts w:ascii="Cambria Math" w:hAnsi="Cambria Math" w:cs="Arial"/>
                                  <w:i/>
                                  <w:color w:val="000000" w:themeColor="text1"/>
                                  <w:lang w:val="en-US"/>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lang w:val="en-US"/>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e>
                      </m:d>
                      <m:d>
                        <m:dPr>
                          <m:begChr m:val="‖"/>
                          <m:endChr m:val="‖"/>
                          <m:ctrlPr>
                            <w:rPr>
                              <w:rFonts w:ascii="Cambria Math" w:hAnsi="Cambria Math" w:cs="Arial"/>
                              <w:i/>
                              <w:color w:val="000000" w:themeColor="text1"/>
                              <w14:textFill>
                                <w14:solidFill>
                                  <w14:schemeClr w14:val="tx1"/>
                                </w14:solidFill>
                              </w14:textFill>
                            </w:rPr>
                          </m:ctrlPr>
                        </m:dPr>
                        <m:e>
                          <m:sSub>
                            <m:sSubPr>
                              <m:ctrlPr>
                                <w:rPr>
                                  <w:rFonts w:ascii="Cambria Math" w:hAnsi="Cambria Math" w:cs="Arial"/>
                                  <w:i/>
                                  <w:color w:val="000000" w:themeColor="text1"/>
                                  <w:lang w:val="en-US"/>
                                  <w14:textFill>
                                    <w14:solidFill>
                                      <w14:schemeClr w14:val="tx1"/>
                                    </w14:solidFill>
                                  </w14:textFill>
                                </w:rPr>
                              </m:ctrlPr>
                            </m:sSubPr>
                            <m:e>
                              <m:r>
                                <m:rPr>
                                  <m:sty m:val="bi"/>
                                </m:rPr>
                                <w:rPr>
                                  <w:rFonts w:ascii="Cambria Math" w:hAnsi="Cambria Math" w:cs="Arial"/>
                                  <w:color w:val="000000" w:themeColor="text1"/>
                                  <w:lang w:val="en-US" w:eastAsia="zh-CN"/>
                                  <w14:textFill>
                                    <w14:solidFill>
                                      <w14:schemeClr w14:val="tx1"/>
                                    </w14:solidFill>
                                  </w14:textFill>
                                </w:rPr>
                                <m:t>w</m:t>
                              </m:r>
                              <m:ctrlPr>
                                <w:rPr>
                                  <w:rFonts w:ascii="Cambria Math" w:hAnsi="Cambria Math" w:cs="Arial"/>
                                  <w:i/>
                                  <w:color w:val="000000" w:themeColor="text1"/>
                                  <w:lang w:val="en-US"/>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lang w:val="en-US"/>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e>
                      </m:d>
                      <m:ctrlPr>
                        <w:rPr>
                          <w:rFonts w:ascii="Cambria Math" w:hAnsi="Cambria Math" w:cs="Arial"/>
                          <w:i/>
                          <w:color w:val="000000" w:themeColor="text1"/>
                          <w14:textFill>
                            <w14:solidFill>
                              <w14:schemeClr w14:val="tx1"/>
                            </w14:solidFill>
                          </w14:textFill>
                        </w:rPr>
                      </m:ctrlPr>
                    </m:den>
                  </m:f>
                  <m:ctrlPr>
                    <w:rPr>
                      <w:rFonts w:ascii="Cambria Math" w:hAnsi="Cambria Math" w:cs="Arial"/>
                      <w:i/>
                      <w:color w:val="000000" w:themeColor="text1"/>
                      <w14:textFill>
                        <w14:solidFill>
                          <w14:schemeClr w14:val="tx1"/>
                        </w14:solidFill>
                      </w14:textFill>
                    </w:rPr>
                  </m:ctrlPr>
                </m:e>
              </m:d>
              <m:ctrlPr>
                <w:rPr>
                  <w:rFonts w:ascii="Cambria Math" w:hAnsi="Cambria Math" w:cs="Arial"/>
                  <w:i/>
                  <w:color w:val="000000" w:themeColor="text1"/>
                  <w14:textFill>
                    <w14:solidFill>
                      <w14:schemeClr w14:val="tx1"/>
                    </w14:solidFill>
                  </w14:textFill>
                </w:rPr>
              </m:ctrlPr>
            </m:e>
            <m:sup>
              <m:r>
                <m:rPr/>
                <w:rPr>
                  <w:rFonts w:ascii="Cambria Math" w:hAnsi="Cambria Math" w:cs="Arial"/>
                  <w:color w:val="000000" w:themeColor="text1"/>
                  <w14:textFill>
                    <w14:solidFill>
                      <w14:schemeClr w14:val="tx1"/>
                    </w14:solidFill>
                  </w14:textFill>
                </w:rPr>
                <m:t>2</m:t>
              </m:r>
              <m:ctrlPr>
                <w:rPr>
                  <w:rFonts w:ascii="Cambria Math" w:hAnsi="Cambria Math" w:cs="Arial"/>
                  <w:i/>
                  <w:color w:val="000000" w:themeColor="text1"/>
                  <w14:textFill>
                    <w14:solidFill>
                      <w14:schemeClr w14:val="tx1"/>
                    </w14:solidFill>
                  </w14:textFill>
                </w:rPr>
              </m:ctrlPr>
            </m:sup>
          </m:sSup>
          <m:r>
            <m:rPr/>
            <w:rPr>
              <w:rFonts w:ascii="Cambria Math" w:hAnsi="Cambria Math" w:cs="Arial"/>
              <w:color w:val="000000" w:themeColor="text1"/>
              <w:lang w:val="en-US" w:eastAsia="zh-CN"/>
              <w14:textFill>
                <w14:solidFill>
                  <w14:schemeClr w14:val="tx1"/>
                </w14:solidFill>
              </w14:textFill>
            </w:rPr>
            <m:t>,</m:t>
          </m:r>
        </m:oMath>
      </m:oMathPara>
    </w:p>
    <w:p>
      <w:pPr>
        <w:ind w:left="400" w:leftChars="200"/>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 xml:space="preserve">where </w:t>
      </w:r>
      <m:oMath>
        <m:sSub>
          <m:sSubPr>
            <m:ctrlPr>
              <w:rPr>
                <w:rFonts w:ascii="Cambria Math" w:hAnsi="Cambria Math" w:cs="Arial"/>
                <w:i/>
                <w:color w:val="000000" w:themeColor="text1"/>
                <w:lang w:val="en-US"/>
                <w14:textFill>
                  <w14:solidFill>
                    <w14:schemeClr w14:val="tx1"/>
                  </w14:solidFill>
                </w14:textFill>
              </w:rPr>
            </m:ctrlPr>
          </m:sSubPr>
          <m:e>
            <m:acc>
              <m:accPr>
                <m:chr m:val="̃"/>
                <m:ctrlPr>
                  <w:rPr>
                    <w:rFonts w:ascii="Cambria Math" w:hAnsi="Cambria Math" w:cs="Arial"/>
                    <w:i/>
                    <w:color w:val="000000" w:themeColor="text1"/>
                    <w:lang w:val="en-US"/>
                    <w14:textFill>
                      <w14:solidFill>
                        <w14:schemeClr w14:val="tx1"/>
                      </w14:solidFill>
                    </w14:textFill>
                  </w:rPr>
                </m:ctrlPr>
              </m:accPr>
              <m:e>
                <m:r>
                  <m:rPr>
                    <m:sty m:val="bi"/>
                  </m:rPr>
                  <w:rPr>
                    <w:rFonts w:ascii="Cambria Math" w:hAnsi="Cambria Math" w:cs="Arial"/>
                    <w:color w:val="000000" w:themeColor="text1"/>
                    <w:lang w:val="en-US" w:eastAsia="zh-CN"/>
                    <w14:textFill>
                      <w14:solidFill>
                        <w14:schemeClr w14:val="tx1"/>
                      </w14:solidFill>
                    </w14:textFill>
                  </w:rPr>
                  <m:t>w</m:t>
                </m:r>
                <m:ctrlPr>
                  <w:rPr>
                    <w:rFonts w:ascii="Cambria Math" w:hAnsi="Cambria Math" w:cs="Arial"/>
                    <w:i/>
                    <w:color w:val="000000" w:themeColor="text1"/>
                    <w:lang w:val="en-US"/>
                    <w14:textFill>
                      <w14:solidFill>
                        <w14:schemeClr w14:val="tx1"/>
                      </w14:solidFill>
                    </w14:textFill>
                  </w:rPr>
                </m:ctrlPr>
              </m:e>
            </m:acc>
            <m:ctrlPr>
              <w:rPr>
                <w:rFonts w:ascii="Cambria Math" w:hAnsi="Cambria Math" w:cs="Arial"/>
                <w:i/>
                <w:color w:val="000000" w:themeColor="text1"/>
                <w:lang w:val="en-US"/>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lang w:val="en-US"/>
                <w14:textFill>
                  <w14:solidFill>
                    <w14:schemeClr w14:val="tx1"/>
                  </w14:solidFill>
                </w14:textFill>
              </w:rPr>
            </m:ctrlPr>
          </m:sub>
        </m:sSub>
      </m:oMath>
      <w:r>
        <w:rPr>
          <w:rFonts w:hint="eastAsia" w:hAnsi="Cambria Math" w:cs="Arial"/>
          <w:color w:val="000000" w:themeColor="text1"/>
          <w:lang w:val="en-US" w:eastAsia="zh-CN"/>
          <w14:textFill>
            <w14:solidFill>
              <w14:schemeClr w14:val="tx1"/>
            </w14:solidFill>
          </w14:textFill>
        </w:rPr>
        <w:t xml:space="preserve"> and </w:t>
      </w:r>
      <m:oMath>
        <m:sSub>
          <m:sSubPr>
            <m:ctrlPr>
              <w:rPr>
                <w:rFonts w:ascii="Cambria Math" w:hAnsi="Cambria Math" w:cs="Arial"/>
                <w:i/>
                <w:color w:val="000000" w:themeColor="text1"/>
                <w:lang w:val="en-US"/>
                <w14:textFill>
                  <w14:solidFill>
                    <w14:schemeClr w14:val="tx1"/>
                  </w14:solidFill>
                </w14:textFill>
              </w:rPr>
            </m:ctrlPr>
          </m:sSubPr>
          <m:e>
            <m:r>
              <m:rPr>
                <m:sty m:val="bi"/>
              </m:rPr>
              <w:rPr>
                <w:rFonts w:ascii="Cambria Math" w:hAnsi="Cambria Math" w:cs="Arial"/>
                <w:color w:val="000000" w:themeColor="text1"/>
                <w:lang w:val="en-US" w:eastAsia="zh-CN"/>
                <w14:textFill>
                  <w14:solidFill>
                    <w14:schemeClr w14:val="tx1"/>
                  </w14:solidFill>
                </w14:textFill>
              </w:rPr>
              <m:t>w</m:t>
            </m:r>
            <m:ctrlPr>
              <w:rPr>
                <w:rFonts w:ascii="Cambria Math" w:hAnsi="Cambria Math" w:cs="Arial"/>
                <w:i/>
                <w:color w:val="000000" w:themeColor="text1"/>
                <w:lang w:val="en-US"/>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lang w:val="en-US"/>
                <w14:textFill>
                  <w14:solidFill>
                    <w14:schemeClr w14:val="tx1"/>
                  </w14:solidFill>
                </w14:textFill>
              </w:rPr>
            </m:ctrlPr>
          </m:sub>
        </m:sSub>
      </m:oMath>
      <w:r>
        <w:rPr>
          <w:rFonts w:hint="eastAsia" w:hAnsi="Cambria Math" w:cs="Arial"/>
          <w:color w:val="000000" w:themeColor="text1"/>
          <w:lang w:val="en-US" w:eastAsia="zh-CN"/>
          <w14:textFill>
            <w14:solidFill>
              <w14:schemeClr w14:val="tx1"/>
            </w14:solidFill>
          </w14:textFill>
        </w:rPr>
        <w:t xml:space="preserve"> is determined by</w:t>
      </w:r>
    </w:p>
    <w:p>
      <w:pPr>
        <w:numPr>
          <w:ilvl w:val="255"/>
          <w:numId w:val="0"/>
        </w:numPr>
        <w:rPr>
          <w:rFonts w:hAnsi="Cambria Math" w:cs="Arial"/>
          <w:color w:val="000000" w:themeColor="text1"/>
          <w:lang w:val="en-US" w:eastAsia="zh-CN"/>
          <w14:textFill>
            <w14:solidFill>
              <w14:schemeClr w14:val="tx1"/>
            </w14:solidFill>
          </w14:textFill>
        </w:rPr>
      </w:pPr>
      <m:oMathPara>
        <m:oMath>
          <m:sSub>
            <m:sSubPr>
              <m:ctrlPr>
                <w:rPr>
                  <w:rFonts w:ascii="Cambria Math" w:hAnsi="Cambria Math" w:cs="Arial"/>
                  <w:i/>
                  <w:color w:val="000000" w:themeColor="text1"/>
                  <w:lang w:val="en-US"/>
                  <w14:textFill>
                    <w14:solidFill>
                      <w14:schemeClr w14:val="tx1"/>
                    </w14:solidFill>
                  </w14:textFill>
                </w:rPr>
              </m:ctrlPr>
            </m:sSubPr>
            <m:e>
              <m:acc>
                <m:accPr>
                  <m:chr m:val="̃"/>
                  <m:ctrlPr>
                    <w:rPr>
                      <w:rFonts w:ascii="Cambria Math" w:hAnsi="Cambria Math" w:cs="Arial"/>
                      <w:i/>
                      <w:color w:val="000000" w:themeColor="text1"/>
                      <w:lang w:val="en-US"/>
                      <w14:textFill>
                        <w14:solidFill>
                          <w14:schemeClr w14:val="tx1"/>
                        </w14:solidFill>
                      </w14:textFill>
                    </w:rPr>
                  </m:ctrlPr>
                </m:accPr>
                <m:e>
                  <m:r>
                    <m:rPr>
                      <m:sty m:val="bi"/>
                    </m:rPr>
                    <w:rPr>
                      <w:rFonts w:ascii="Cambria Math" w:hAnsi="Cambria Math" w:cs="Arial"/>
                      <w:color w:val="000000" w:themeColor="text1"/>
                      <w:lang w:val="en-US" w:eastAsia="zh-CN"/>
                      <w14:textFill>
                        <w14:solidFill>
                          <w14:schemeClr w14:val="tx1"/>
                        </w14:solidFill>
                      </w14:textFill>
                    </w:rPr>
                    <m:t>w</m:t>
                  </m:r>
                  <m:ctrlPr>
                    <w:rPr>
                      <w:rFonts w:ascii="Cambria Math" w:hAnsi="Cambria Math" w:cs="Arial"/>
                      <w:i/>
                      <w:color w:val="000000" w:themeColor="text1"/>
                      <w:lang w:val="en-US"/>
                      <w14:textFill>
                        <w14:solidFill>
                          <w14:schemeClr w14:val="tx1"/>
                        </w14:solidFill>
                      </w14:textFill>
                    </w:rPr>
                  </m:ctrlPr>
                </m:e>
              </m:acc>
              <m:ctrlPr>
                <w:rPr>
                  <w:rFonts w:ascii="Cambria Math" w:hAnsi="Cambria Math" w:cs="Arial"/>
                  <w:i/>
                  <w:color w:val="000000" w:themeColor="text1"/>
                  <w:lang w:val="en-US"/>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lang w:val="en-US"/>
                  <w14:textFill>
                    <w14:solidFill>
                      <w14:schemeClr w14:val="tx1"/>
                    </w14:solidFill>
                  </w14:textFill>
                </w:rPr>
              </m:ctrlPr>
            </m:sub>
          </m:sSub>
          <m:r>
            <m:rPr/>
            <w:rPr>
              <w:rFonts w:ascii="Cambria Math" w:hAnsi="Cambria Math" w:cs="Arial"/>
              <w:color w:val="000000" w:themeColor="text1"/>
              <w:lang w:val="en-US" w:eastAsia="zh-CN"/>
              <w14:textFill>
                <w14:solidFill>
                  <w14:schemeClr w14:val="tx1"/>
                </w14:solidFill>
              </w14:textFill>
            </w:rPr>
            <m:t>=</m:t>
          </m:r>
          <m:nary>
            <m:naryPr>
              <m:chr m:val="∑"/>
              <m:limLoc m:val="undOvr"/>
              <m:supHide m:val="1"/>
              <m:ctrlPr>
                <w:rPr>
                  <w:rFonts w:ascii="Cambria Math" w:hAnsi="Cambria Math" w:cs="Arial"/>
                  <w:i/>
                  <w:color w:val="000000" w:themeColor="text1"/>
                  <w14:textFill>
                    <w14:solidFill>
                      <w14:schemeClr w14:val="tx1"/>
                    </w14:solidFill>
                  </w14:textFill>
                </w:rPr>
              </m:ctrlPr>
            </m:naryPr>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b>
            <m:sup>
              <m:ctrlPr>
                <w:rPr>
                  <w:rFonts w:ascii="Cambria Math" w:hAnsi="Cambria Math" w:cs="Arial"/>
                  <w:i/>
                  <w:color w:val="000000" w:themeColor="text1"/>
                  <w14:textFill>
                    <w14:solidFill>
                      <w14:schemeClr w14:val="tx1"/>
                    </w14:solidFill>
                  </w14:textFill>
                </w:rPr>
              </m:ctrlPr>
            </m:sup>
            <m:e>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lang w:val="en-US" w:eastAsia="zh-CN"/>
                      <w14:textFill>
                        <w14:solidFill>
                          <w14:schemeClr w14:val="tx1"/>
                        </w14:solidFill>
                      </w14:textFill>
                    </w:rPr>
                    <m:t>p</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b>
              </m:sSub>
              <m:sSubSup>
                <m:sSubSupPr>
                  <m:ctrlPr>
                    <w:rPr>
                      <w:rFonts w:ascii="Cambria Math" w:hAnsi="Cambria Math" w:cs="Arial"/>
                      <w:i/>
                      <w:color w:val="000000" w:themeColor="text1"/>
                      <w14:textFill>
                        <w14:solidFill>
                          <w14:schemeClr w14:val="tx1"/>
                        </w14:solidFill>
                      </w14:textFill>
                    </w:rPr>
                  </m:ctrlPr>
                </m:sSubSupPr>
                <m:e>
                  <m:acc>
                    <m:accPr>
                      <m:chr m:val="̃"/>
                      <m:ctrlPr>
                        <w:rPr>
                          <w:rFonts w:ascii="Cambria Math" w:hAnsi="Cambria Math" w:cs="Arial"/>
                          <w:b/>
                          <w:i/>
                          <w:color w:val="000000" w:themeColor="text1"/>
                          <w14:textFill>
                            <w14:solidFill>
                              <w14:schemeClr w14:val="tx1"/>
                            </w14:solidFill>
                          </w14:textFill>
                        </w:rPr>
                      </m:ctrlPr>
                    </m:accPr>
                    <m:e>
                      <m:r>
                        <m:rPr>
                          <m:sty m:val="bi"/>
                        </m:rPr>
                        <w:rPr>
                          <w:rFonts w:ascii="Cambria Math" w:hAnsi="Cambria Math" w:cs="Arial"/>
                          <w:color w:val="000000" w:themeColor="text1"/>
                          <w14:textFill>
                            <w14:solidFill>
                              <w14:schemeClr w14:val="tx1"/>
                            </w14:solidFill>
                          </w14:textFill>
                        </w:rPr>
                        <m:t>w</m:t>
                      </m:r>
                      <m:ctrlPr>
                        <w:rPr>
                          <w:rFonts w:ascii="Cambria Math" w:hAnsi="Cambria Math" w:cs="Arial"/>
                          <w:b/>
                          <w:i/>
                          <w:color w:val="000000" w:themeColor="text1"/>
                          <w14:textFill>
                            <w14:solidFill>
                              <w14:schemeClr w14:val="tx1"/>
                            </w14:solidFill>
                          </w14:textFill>
                        </w:rPr>
                      </m:ctrlPr>
                    </m:e>
                  </m:acc>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14:textFill>
                        <w14:solidFill>
                          <w14:schemeClr w14:val="tx1"/>
                        </w14:solidFill>
                      </w14:textFill>
                    </w:rPr>
                  </m:ctrlPr>
                </m:sub>
                <m:sup>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p>
              </m:sSubSup>
              <m:ctrlPr>
                <w:rPr>
                  <w:rFonts w:ascii="Cambria Math" w:hAnsi="Cambria Math" w:cs="Arial"/>
                  <w:i/>
                  <w:color w:val="000000" w:themeColor="text1"/>
                  <w14:textFill>
                    <w14:solidFill>
                      <w14:schemeClr w14:val="tx1"/>
                    </w14:solidFill>
                  </w14:textFill>
                </w:rPr>
              </m:ctrlPr>
            </m:e>
          </m:nary>
          <m:r>
            <m:rPr/>
            <w:rPr>
              <w:rFonts w:ascii="Cambria Math" w:hAnsi="Cambria Math" w:cs="Arial"/>
              <w:color w:val="000000" w:themeColor="text1"/>
              <w:lang w:val="en-US" w:eastAsia="zh-CN"/>
              <w14:textFill>
                <w14:solidFill>
                  <w14:schemeClr w14:val="tx1"/>
                </w14:solidFill>
              </w14:textFill>
            </w:rPr>
            <m:t xml:space="preserve">, </m:t>
          </m:r>
          <m:sSub>
            <m:sSubPr>
              <m:ctrlPr>
                <w:rPr>
                  <w:rFonts w:ascii="Cambria Math" w:hAnsi="Cambria Math" w:cs="Arial"/>
                  <w:i/>
                  <w:color w:val="000000" w:themeColor="text1"/>
                  <w:lang w:val="en-US"/>
                  <w14:textFill>
                    <w14:solidFill>
                      <w14:schemeClr w14:val="tx1"/>
                    </w14:solidFill>
                  </w14:textFill>
                </w:rPr>
              </m:ctrlPr>
            </m:sSubPr>
            <m:e>
              <m:r>
                <m:rPr>
                  <m:sty m:val="bi"/>
                </m:rPr>
                <w:rPr>
                  <w:rFonts w:ascii="Cambria Math" w:hAnsi="Cambria Math" w:cs="Arial"/>
                  <w:color w:val="000000" w:themeColor="text1"/>
                  <w:lang w:val="en-US" w:eastAsia="zh-CN"/>
                  <w14:textFill>
                    <w14:solidFill>
                      <w14:schemeClr w14:val="tx1"/>
                    </w14:solidFill>
                  </w14:textFill>
                </w:rPr>
                <m:t>w</m:t>
              </m:r>
              <m:ctrlPr>
                <w:rPr>
                  <w:rFonts w:ascii="Cambria Math" w:hAnsi="Cambria Math" w:cs="Arial"/>
                  <w:i/>
                  <w:color w:val="000000" w:themeColor="text1"/>
                  <w:lang w:val="en-US"/>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lang w:val="en-US"/>
                  <w14:textFill>
                    <w14:solidFill>
                      <w14:schemeClr w14:val="tx1"/>
                    </w14:solidFill>
                  </w14:textFill>
                </w:rPr>
              </m:ctrlPr>
            </m:sub>
          </m:sSub>
          <m:r>
            <m:rPr/>
            <w:rPr>
              <w:rFonts w:ascii="Cambria Math" w:hAnsi="Cambria Math" w:cs="Arial"/>
              <w:color w:val="000000" w:themeColor="text1"/>
              <w:lang w:val="en-US" w:eastAsia="zh-CN"/>
              <w14:textFill>
                <w14:solidFill>
                  <w14:schemeClr w14:val="tx1"/>
                </w14:solidFill>
              </w14:textFill>
            </w:rPr>
            <m:t>=</m:t>
          </m:r>
          <m:nary>
            <m:naryPr>
              <m:chr m:val="∑"/>
              <m:limLoc m:val="undOvr"/>
              <m:supHide m:val="1"/>
              <m:ctrlPr>
                <w:rPr>
                  <w:rFonts w:ascii="Cambria Math" w:hAnsi="Cambria Math" w:cs="Arial"/>
                  <w:i/>
                  <w:color w:val="000000" w:themeColor="text1"/>
                  <w14:textFill>
                    <w14:solidFill>
                      <w14:schemeClr w14:val="tx1"/>
                    </w14:solidFill>
                  </w14:textFill>
                </w:rPr>
              </m:ctrlPr>
            </m:naryPr>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b>
            <m:sup>
              <m:ctrlPr>
                <w:rPr>
                  <w:rFonts w:ascii="Cambria Math" w:hAnsi="Cambria Math" w:cs="Arial"/>
                  <w:i/>
                  <w:color w:val="000000" w:themeColor="text1"/>
                  <w14:textFill>
                    <w14:solidFill>
                      <w14:schemeClr w14:val="tx1"/>
                    </w14:solidFill>
                  </w14:textFill>
                </w:rPr>
              </m:ctrlPr>
            </m:sup>
            <m:e>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lang w:val="en-US" w:eastAsia="zh-CN"/>
                      <w14:textFill>
                        <w14:solidFill>
                          <w14:schemeClr w14:val="tx1"/>
                        </w14:solidFill>
                      </w14:textFill>
                    </w:rPr>
                    <m:t>p</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b>
              </m:sSub>
              <m:sSub>
                <m:sSubPr>
                  <m:ctrlPr>
                    <w:rPr>
                      <w:rFonts w:ascii="Cambria Math" w:hAnsi="Cambria Math" w:cs="Arial"/>
                      <w:i/>
                      <w:color w:val="000000" w:themeColor="text1"/>
                      <w:lang w:val="en-US"/>
                      <w14:textFill>
                        <w14:solidFill>
                          <w14:schemeClr w14:val="tx1"/>
                        </w14:solidFill>
                      </w14:textFill>
                    </w:rPr>
                  </m:ctrlPr>
                </m:sSubPr>
                <m:e>
                  <m:r>
                    <m:rPr>
                      <m:sty m:val="bi"/>
                    </m:rPr>
                    <w:rPr>
                      <w:rFonts w:ascii="Cambria Math" w:hAnsi="Cambria Math" w:cs="Arial"/>
                      <w:color w:val="000000" w:themeColor="text1"/>
                      <w:lang w:val="en-US" w:eastAsia="zh-CN"/>
                      <w14:textFill>
                        <w14:solidFill>
                          <w14:schemeClr w14:val="tx1"/>
                        </w14:solidFill>
                      </w14:textFill>
                    </w:rPr>
                    <m:t>w</m:t>
                  </m:r>
                  <m:ctrlPr>
                    <w:rPr>
                      <w:rFonts w:ascii="Cambria Math" w:hAnsi="Cambria Math" w:cs="Arial"/>
                      <w:i/>
                      <w:color w:val="000000" w:themeColor="text1"/>
                      <w:lang w:val="en-US"/>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4</m:t>
                      </m:r>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14:textFill>
                        <w14:solidFill>
                          <w14:schemeClr w14:val="tx1"/>
                        </w14:solidFill>
                      </w14:textFill>
                    </w:rPr>
                    <m:t>,l</m:t>
                  </m:r>
                  <m:ctrlPr>
                    <w:rPr>
                      <w:rFonts w:ascii="Cambria Math" w:hAnsi="Cambria Math" w:cs="Arial"/>
                      <w:i/>
                      <w:color w:val="000000" w:themeColor="text1"/>
                      <w:lang w:val="en-US"/>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e>
          </m:nary>
          <m:r>
            <m:rPr/>
            <w:rPr>
              <w:rFonts w:ascii="Cambria Math" w:hAnsi="Cambria Math" w:cs="Arial"/>
              <w:color w:val="000000" w:themeColor="text1"/>
              <w:lang w:val="en-US" w:eastAsia="zh-CN"/>
              <w14:textFill>
                <w14:solidFill>
                  <w14:schemeClr w14:val="tx1"/>
                </w14:solidFill>
              </w14:textFill>
            </w:rPr>
            <m:t>,</m:t>
          </m:r>
        </m:oMath>
      </m:oMathPara>
    </w:p>
    <w:p>
      <w:pPr>
        <w:ind w:left="400" w:leftChars="200"/>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 xml:space="preserve">where the weight vector </w:t>
      </w:r>
      <m:oMath>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lang w:val="en-US" w:eastAsia="zh-CN"/>
                <w14:textFill>
                  <w14:solidFill>
                    <w14:schemeClr w14:val="tx1"/>
                  </w14:solidFill>
                </w14:textFill>
              </w:rPr>
              <m:t>p</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b>
        </m:sSub>
      </m:oMath>
      <w:r>
        <w:rPr>
          <w:rFonts w:hint="eastAsia" w:hAnsi="Cambria Math" w:cs="Arial"/>
          <w:color w:val="000000" w:themeColor="text1"/>
          <w:lang w:val="en-US" w:eastAsia="zh-CN"/>
          <w14:textFill>
            <w14:solidFill>
              <w14:schemeClr w14:val="tx1"/>
            </w14:solidFill>
          </w14:textFill>
        </w:rPr>
        <w:t xml:space="preserve"> can be configured by the gNB or can be specified as fixed, such as </w:t>
      </w:r>
      <m:oMath>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lang w:val="en-US" w:eastAsia="zh-CN"/>
                <w14:textFill>
                  <w14:solidFill>
                    <w14:schemeClr w14:val="tx1"/>
                  </w14:solidFill>
                </w14:textFill>
              </w:rPr>
              <m:t>p</m:t>
            </m:r>
            <m:ctrlPr>
              <w:rPr>
                <w:rFonts w:ascii="Cambria Math" w:hAnsi="Cambria Math" w:cs="Arial"/>
                <w:i/>
                <w:color w:val="000000" w:themeColor="text1"/>
                <w14:textFill>
                  <w14:solidFill>
                    <w14:schemeClr w14:val="tx1"/>
                  </w14:solidFill>
                </w14:textFill>
              </w:rPr>
            </m:ctrlPr>
          </m:e>
          <m:sub>
            <m:sSub>
              <m:sSubPr>
                <m:ctrlPr>
                  <w:rPr>
                    <w:rFonts w:ascii="Cambria Math" w:hAnsi="Cambria Math" w:cs="Arial"/>
                    <w:i/>
                    <w:color w:val="000000" w:themeColor="text1"/>
                    <w14:textFill>
                      <w14:solidFill>
                        <w14:schemeClr w14:val="tx1"/>
                      </w14:solidFill>
                    </w14:textFill>
                  </w:rPr>
                </m:ctrlPr>
              </m:sSubPr>
              <m:e>
                <m:r>
                  <m:rPr/>
                  <w:rPr>
                    <w:rFonts w:ascii="Cambria Math" w:hAnsi="Cambria Math" w:cs="Arial"/>
                    <w:color w:val="000000" w:themeColor="text1"/>
                    <w14:textFill>
                      <w14:solidFill>
                        <w14:schemeClr w14:val="tx1"/>
                      </w14:solidFill>
                    </w14:textFill>
                  </w:rPr>
                  <m:t>n</m:t>
                </m:r>
                <m:ctrlPr>
                  <w:rPr>
                    <w:rFonts w:ascii="Cambria Math" w:hAnsi="Cambria Math" w:cs="Arial"/>
                    <w:i/>
                    <w:color w:val="000000" w:themeColor="text1"/>
                    <w14:textFill>
                      <w14:solidFill>
                        <w14:schemeClr w14:val="tx1"/>
                      </w14:solidFill>
                    </w14:textFill>
                  </w:rPr>
                </m:ctrlPr>
              </m:e>
              <m:sub>
                <m:r>
                  <m:rPr/>
                  <w:rPr>
                    <w:rFonts w:ascii="Cambria Math" w:hAnsi="Cambria Math" w:cs="Arial"/>
                    <w:color w:val="000000" w:themeColor="text1"/>
                    <w14:textFill>
                      <w14:solidFill>
                        <w14:schemeClr w14:val="tx1"/>
                      </w14:solidFill>
                    </w14:textFill>
                  </w:rPr>
                  <m:t>3</m:t>
                </m:r>
                <m:ctrlPr>
                  <w:rPr>
                    <w:rFonts w:ascii="Cambria Math" w:hAnsi="Cambria Math" w:cs="Arial"/>
                    <w:i/>
                    <w:color w:val="000000" w:themeColor="text1"/>
                    <w14:textFill>
                      <w14:solidFill>
                        <w14:schemeClr w14:val="tx1"/>
                      </w14:solidFill>
                    </w14:textFill>
                  </w:rPr>
                </m:ctrlPr>
              </m:sub>
            </m:sSub>
            <m:ctrlPr>
              <w:rPr>
                <w:rFonts w:ascii="Cambria Math" w:hAnsi="Cambria Math" w:cs="Arial"/>
                <w:i/>
                <w:color w:val="000000" w:themeColor="text1"/>
                <w14:textFill>
                  <w14:solidFill>
                    <w14:schemeClr w14:val="tx1"/>
                  </w14:solidFill>
                </w14:textFill>
              </w:rPr>
            </m:ctrlPr>
          </m:sub>
        </m:sSub>
        <m:r>
          <m:rPr/>
          <w:rPr>
            <w:rFonts w:ascii="Cambria Math" w:hAnsi="Cambria Math" w:cs="Arial"/>
            <w:color w:val="000000" w:themeColor="text1"/>
            <w:lang w:val="en-US" w:eastAsia="zh-CN"/>
            <w14:textFill>
              <w14:solidFill>
                <w14:schemeClr w14:val="tx1"/>
              </w14:solidFill>
            </w14:textFill>
          </w:rPr>
          <m:t>=1/N</m:t>
        </m:r>
      </m:oMath>
      <w:r>
        <w:rPr>
          <w:rFonts w:hint="eastAsia" w:hAnsi="Cambria Math" w:cs="Arial"/>
          <w:color w:val="000000" w:themeColor="text1"/>
          <w:lang w:val="en-US" w:eastAsia="zh-CN"/>
          <w14:textFill>
            <w14:solidFill>
              <w14:schemeClr w14:val="tx1"/>
            </w14:solidFill>
          </w14:textFill>
        </w:rPr>
        <w:t>, where N denotes the number of subbands UE decides to generate a wideband SGCS report.</w:t>
      </w:r>
    </w:p>
    <w:p>
      <w:pPr>
        <w:numPr>
          <w:ilvl w:val="255"/>
          <w:numId w:val="0"/>
        </w:numPr>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It should be further clarified that the SGCS is calculated as option 1 because option 1 eliminates any ambiguity in the specification. Besides, option 2 is not aligned with the agreement from RAN1#120b by defining a new SGCS calculation with no discussions or agreements.</w:t>
      </w:r>
    </w:p>
    <w:p>
      <w:pPr>
        <w:numPr>
          <w:ilvl w:val="255"/>
          <w:numId w:val="0"/>
        </w:numPr>
        <w:rPr>
          <w:rFonts w:hAnsi="Cambria Math" w:cs="Arial"/>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Observation 1:</w:t>
      </w:r>
      <w:r>
        <w:rPr>
          <w:rFonts w:hint="eastAsia" w:hAnsi="Cambria Math" w:cs="Arial"/>
          <w:color w:val="000000" w:themeColor="text1"/>
          <w:lang w:val="en-US" w:eastAsia="zh-CN"/>
          <w14:textFill>
            <w14:solidFill>
              <w14:schemeClr w14:val="tx1"/>
            </w14:solidFill>
          </w14:textFill>
        </w:rPr>
        <w:t xml:space="preserve"> Current definition of wideband SGCS report causes ambiguity without clarifying the definition of a wideband SGCS.</w:t>
      </w:r>
    </w:p>
    <w:p>
      <w:pPr>
        <w:numPr>
          <w:ilvl w:val="255"/>
          <w:numId w:val="0"/>
        </w:numPr>
        <w:rPr>
          <w:rFonts w:hAnsi="Cambria Math" w:cs="Arial"/>
          <w:b/>
          <w:bCs/>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 xml:space="preserve">Summary of change: </w:t>
      </w:r>
      <w:r>
        <w:rPr>
          <w:rFonts w:hint="eastAsia" w:hAnsi="Cambria Math" w:cs="Arial"/>
          <w:color w:val="000000" w:themeColor="text1"/>
          <w:lang w:val="en-US" w:eastAsia="zh-CN"/>
          <w14:textFill>
            <w14:solidFill>
              <w14:schemeClr w14:val="tx1"/>
            </w14:solidFill>
          </w14:textFill>
        </w:rPr>
        <w:t>Introduce the explicit definition of wideband SGCS in the specification.</w:t>
      </w:r>
    </w:p>
    <w:p>
      <w:pPr>
        <w:numPr>
          <w:ilvl w:val="255"/>
          <w:numId w:val="0"/>
        </w:numPr>
        <w:rPr>
          <w:rFonts w:hAnsi="Cambria Math" w:cs="Arial"/>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 xml:space="preserve">Consequences if not approved: </w:t>
      </w:r>
      <w:r>
        <w:rPr>
          <w:rFonts w:hint="eastAsia" w:hAnsi="Cambria Math" w:cs="Arial"/>
          <w:color w:val="000000" w:themeColor="text1"/>
          <w:lang w:val="en-US" w:eastAsia="zh-CN"/>
          <w14:textFill>
            <w14:solidFill>
              <w14:schemeClr w14:val="tx1"/>
            </w14:solidFill>
          </w14:textFill>
        </w:rPr>
        <w:t>Potential conflict or ambiguity with approved agreement.</w:t>
      </w:r>
    </w:p>
    <w:p>
      <w:pPr>
        <w:numPr>
          <w:ilvl w:val="255"/>
          <w:numId w:val="0"/>
        </w:numPr>
        <w:rPr>
          <w:rFonts w:hAnsi="Cambria Math" w:cs="Arial"/>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 xml:space="preserve">Proposal 1: </w:t>
      </w:r>
      <w:r>
        <w:rPr>
          <w:rFonts w:hint="eastAsia" w:hAnsi="Cambria Math" w:cs="Arial"/>
          <w:color w:val="000000" w:themeColor="text1"/>
          <w:lang w:val="en-US" w:eastAsia="zh-CN"/>
          <w14:textFill>
            <w14:solidFill>
              <w14:schemeClr w14:val="tx1"/>
            </w14:solidFill>
          </w14:textFill>
        </w:rPr>
        <w:t>For monitoring report, support option 1 for wideband SGCS definition and report.</w:t>
      </w:r>
    </w:p>
    <w:p>
      <w:pPr>
        <w:numPr>
          <w:ilvl w:val="255"/>
          <w:numId w:val="0"/>
        </w:numPr>
        <w:rPr>
          <w:rFonts w:hAnsi="Cambria Math" w:cs="Arial"/>
          <w:b/>
          <w:bCs/>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Text Proposal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spacing w:before="120" w:line="280" w:lineRule="atLeast"/>
              <w:rPr>
                <w:rFonts w:hAnsi="Cambria Math" w:cs="Arial"/>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TS 38.214, Section 5.2.1.4.6 CSI-PAI reporting</w:t>
            </w:r>
          </w:p>
          <w:p>
            <w:pPr>
              <w:numPr>
                <w:ilvl w:val="255"/>
                <w:numId w:val="0"/>
              </w:numPr>
              <w:spacing w:before="120" w:line="280" w:lineRule="atLeast"/>
              <w:jc w:val="center"/>
              <w:rPr>
                <w:rFonts w:hAnsi="Cambria Math" w:cs="Arial"/>
                <w:color w:val="FF0000"/>
                <w:lang w:val="en-US" w:eastAsia="zh-CN"/>
              </w:rPr>
            </w:pPr>
            <w:r>
              <w:rPr>
                <w:rFonts w:hint="eastAsia" w:ascii="Arial" w:hAnsi="Arial" w:cs="Arial"/>
                <w:color w:val="FF0000"/>
                <w:sz w:val="24"/>
                <w:szCs w:val="24"/>
                <w:lang w:val="en-US" w:eastAsia="zh-CN"/>
              </w:rPr>
              <w:t>***</w:t>
            </w:r>
            <w:r>
              <w:rPr>
                <w:rFonts w:ascii="Arial" w:hAnsi="Arial" w:cs="Arial"/>
                <w:color w:val="FF0000"/>
                <w:sz w:val="24"/>
                <w:szCs w:val="24"/>
              </w:rPr>
              <w:t xml:space="preserve"> Unchanged parts are omitted </w:t>
            </w:r>
            <w:r>
              <w:rPr>
                <w:rFonts w:hint="eastAsia" w:ascii="Arial" w:hAnsi="Arial" w:cs="Arial"/>
                <w:color w:val="FF0000"/>
                <w:sz w:val="24"/>
                <w:szCs w:val="24"/>
                <w:lang w:val="en-US" w:eastAsia="zh-CN"/>
              </w:rPr>
              <w:t>***</w:t>
            </w:r>
          </w:p>
          <w:p>
            <w:pPr>
              <w:pStyle w:val="123"/>
              <w:spacing w:before="120" w:line="280" w:lineRule="atLeast"/>
              <w:rPr>
                <w:lang w:val="en-GB"/>
              </w:rPr>
            </w:pPr>
            <w:r>
              <w:rPr>
                <w:rFonts w:eastAsia="微软雅黑"/>
              </w:rPr>
              <w:t>-</w:t>
            </w:r>
            <w:r>
              <w:rPr>
                <w:rFonts w:eastAsia="微软雅黑"/>
              </w:rPr>
              <w:tab/>
            </w:r>
            <w:r>
              <w:rPr>
                <w:rFonts w:eastAsia="微软雅黑"/>
              </w:rPr>
              <w:t>f</w:t>
            </w:r>
            <w:r>
              <w:rPr>
                <w:lang w:val="en-GB"/>
              </w:rPr>
              <w:t xml:space="preserve">or </w:t>
            </w:r>
            <m:oMath>
              <m:r>
                <m:rPr/>
                <w:rPr>
                  <w:rFonts w:ascii="Cambria Math" w:hAnsi="Cambria Math"/>
                  <w:lang w:val="en-GB"/>
                </w:rPr>
                <m:t xml:space="preserve">k </m:t>
              </m:r>
              <m:r>
                <m:rPr/>
                <w:rPr>
                  <w:rFonts w:ascii="Cambria Math" w:hAnsi="Cambria Math"/>
                  <w:color w:val="000000"/>
                  <w:lang w:eastAsia="zh-CN"/>
                </w:rPr>
                <m:t>∈</m:t>
              </m:r>
              <m:d>
                <m:dPr>
                  <m:begChr m:val="{"/>
                  <m:endChr m:val="}"/>
                  <m:ctrlPr>
                    <w:rPr>
                      <w:rFonts w:ascii="Cambria Math" w:hAnsi="Cambria Math"/>
                      <w:i/>
                      <w:color w:val="000000"/>
                      <w:lang w:eastAsia="zh-CN"/>
                    </w:rPr>
                  </m:ctrlPr>
                </m:dPr>
                <m:e>
                  <m:r>
                    <m:rPr/>
                    <w:rPr>
                      <w:rFonts w:ascii="Cambria Math" w:hAnsi="Cambria Math"/>
                      <w:color w:val="000000"/>
                      <w:lang w:eastAsia="zh-CN"/>
                    </w:rPr>
                    <m:t>1,2,…,v</m:t>
                  </m:r>
                  <m:ctrlPr>
                    <w:rPr>
                      <w:rFonts w:ascii="Cambria Math" w:hAnsi="Cambria Math"/>
                      <w:i/>
                      <w:color w:val="000000"/>
                      <w:lang w:eastAsia="zh-CN"/>
                    </w:rPr>
                  </m:ctrlPr>
                </m:e>
              </m:d>
            </m:oMath>
            <w:r>
              <w:rPr>
                <w:lang w:val="en-GB"/>
              </w:rPr>
              <w:t xml:space="preserve">, </w:t>
            </w:r>
            <m:oMath>
              <m:r>
                <m:rPr/>
                <w:rPr>
                  <w:rFonts w:ascii="Cambria Math" w:hAnsi="Cambria Math"/>
                  <w:color w:val="000000"/>
                  <w:lang w:eastAsia="zh-CN"/>
                </w:rPr>
                <m:t>v</m:t>
              </m:r>
            </m:oMath>
            <w:r>
              <w:rPr>
                <w:color w:val="000000"/>
                <w:lang w:eastAsia="zh-CN"/>
              </w:rPr>
              <w:t xml:space="preserve"> is the RI reported for the CSI report corresponding to the first Reporting Setting</w:t>
            </w:r>
            <w:r>
              <w:rPr>
                <w:lang w:val="en-GB"/>
              </w:rPr>
              <w:t>, calculate</w:t>
            </w:r>
            <w:r>
              <w:rPr>
                <w:rFonts w:hint="eastAsia"/>
                <w:color w:val="FF0000"/>
                <w:lang w:eastAsia="zh-CN"/>
              </w:rPr>
              <w:t xml:space="preserve"> </w:t>
            </w:r>
            <w:r>
              <w:rPr>
                <w:lang w:val="en-GB"/>
              </w:rPr>
              <w:t xml:space="preserve">SGCS value(s) as, </w:t>
            </w:r>
          </w:p>
          <w:p>
            <w:pPr>
              <w:pStyle w:val="122"/>
              <w:spacing w:before="120" w:line="280" w:lineRule="atLeast"/>
              <w:ind w:left="851"/>
              <w:jc w:val="center"/>
              <w:rPr>
                <w:rFonts w:hAnsi="Cambria Math"/>
                <w:color w:val="FF0000"/>
                <w:lang w:eastAsia="zh-CN"/>
              </w:rPr>
            </w:pP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lang w:eastAsia="zh-CN"/>
                    </w:rPr>
                    <m:t>k</m:t>
                  </m:r>
                  <m:ctrlPr>
                    <w:rPr>
                      <w:rFonts w:ascii="Cambria Math" w:hAnsi="Cambria Math"/>
                      <w:i/>
                      <w:color w:val="FF0000"/>
                    </w:rPr>
                  </m:ctrlPr>
                </m:sub>
                <m:sup>
                  <m:r>
                    <m:rPr/>
                    <w:rPr>
                      <w:rFonts w:ascii="Cambria Math" w:hAnsi="Cambria Math"/>
                      <w:color w:val="FF0000"/>
                    </w:rPr>
                    <m:t>1</m:t>
                  </m:r>
                  <m:ctrlPr>
                    <w:rPr>
                      <w:rFonts w:ascii="Cambria Math" w:hAnsi="Cambria Math"/>
                      <w:i/>
                      <w:color w:val="FF0000"/>
                    </w:rPr>
                  </m:ctrlPr>
                </m:sup>
              </m:sSubSup>
              <m:r>
                <m:rPr/>
                <w:rPr>
                  <w:rFonts w:ascii="Cambria Math" w:hAnsi="Cambria Math"/>
                  <w:color w:val="FF0000"/>
                  <w:lang w:eastAsia="zh-CN"/>
                </w:rPr>
                <m:t>=</m:t>
              </m:r>
              <m:f>
                <m:fPr>
                  <m:ctrlPr>
                    <w:rPr>
                      <w:rFonts w:ascii="Cambria Math" w:hAnsi="Cambria Math"/>
                      <w:i/>
                      <w:color w:val="FF0000"/>
                      <w:lang w:eastAsia="zh-CN"/>
                    </w:rPr>
                  </m:ctrlPr>
                </m:fPr>
                <m:num>
                  <m:r>
                    <m:rPr/>
                    <w:rPr>
                      <w:rFonts w:ascii="Cambria Math" w:hAnsi="Cambria Math"/>
                      <w:color w:val="FF0000"/>
                      <w:lang w:eastAsia="zh-CN"/>
                    </w:rPr>
                    <m:t>1</m:t>
                  </m:r>
                  <m:ctrlPr>
                    <w:rPr>
                      <w:rFonts w:ascii="Cambria Math" w:hAnsi="Cambria Math"/>
                      <w:i/>
                      <w:color w:val="FF0000"/>
                      <w:lang w:eastAsia="zh-CN"/>
                    </w:rPr>
                  </m:ctrlPr>
                </m:num>
                <m:den>
                  <m:r>
                    <m:rPr/>
                    <w:rPr>
                      <w:rFonts w:ascii="Cambria Math" w:hAnsi="Cambria Math"/>
                      <w:color w:val="FF0000"/>
                      <w:lang w:eastAsia="zh-CN"/>
                    </w:rPr>
                    <m:t>N</m:t>
                  </m:r>
                  <m:ctrlPr>
                    <w:rPr>
                      <w:rFonts w:ascii="Cambria Math" w:hAnsi="Cambria Math"/>
                      <w:i/>
                      <w:color w:val="FF0000"/>
                      <w:lang w:eastAsia="zh-CN"/>
                    </w:rPr>
                  </m:ctrlPr>
                </m:den>
              </m:f>
              <m:nary>
                <m:naryPr>
                  <m:chr m:val="∑"/>
                  <m:limLoc m:val="undOvr"/>
                  <m:ctrlPr>
                    <w:rPr>
                      <w:rFonts w:ascii="Cambria Math" w:hAnsi="Cambria Math"/>
                      <w:i/>
                      <w:color w:val="FF0000"/>
                      <w:lang w:eastAsia="zh-CN"/>
                    </w:rPr>
                  </m:ctrlPr>
                </m:naryPr>
                <m:sub>
                  <m:r>
                    <m:rPr/>
                    <w:rPr>
                      <w:rFonts w:ascii="Cambria Math" w:hAnsi="Cambria Math"/>
                      <w:color w:val="FF0000"/>
                      <w:lang w:eastAsia="zh-CN"/>
                    </w:rPr>
                    <m:t>n=0</m:t>
                  </m:r>
                  <m:ctrlPr>
                    <w:rPr>
                      <w:rFonts w:ascii="Cambria Math" w:hAnsi="Cambria Math"/>
                      <w:i/>
                      <w:color w:val="FF0000"/>
                      <w:lang w:eastAsia="zh-CN"/>
                    </w:rPr>
                  </m:ctrlPr>
                </m:sub>
                <m:sup>
                  <m:r>
                    <m:rPr/>
                    <w:rPr>
                      <w:rFonts w:ascii="Cambria Math" w:hAnsi="Cambria Math"/>
                      <w:color w:val="FF0000"/>
                      <w:lang w:eastAsia="zh-CN"/>
                    </w:rPr>
                    <m:t>N−1</m:t>
                  </m:r>
                  <m:ctrlPr>
                    <w:rPr>
                      <w:rFonts w:ascii="Cambria Math" w:hAnsi="Cambria Math"/>
                      <w:i/>
                      <w:color w:val="FF0000"/>
                      <w:lang w:eastAsia="zh-CN"/>
                    </w:rPr>
                  </m:ctrlPr>
                </m:sup>
                <m:e>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1</m:t>
                      </m:r>
                      <m:ctrlPr>
                        <w:rPr>
                          <w:rFonts w:ascii="Cambria Math" w:hAnsi="Cambria Math"/>
                          <w:i/>
                          <w:color w:val="FF0000"/>
                        </w:rPr>
                      </m:ctrlPr>
                    </m:sup>
                  </m:sSubSup>
                  <m:ctrlPr>
                    <w:rPr>
                      <w:rFonts w:ascii="Cambria Math" w:hAnsi="Cambria Math"/>
                      <w:i/>
                      <w:color w:val="FF0000"/>
                      <w:lang w:eastAsia="zh-CN"/>
                    </w:rPr>
                  </m:ctrlPr>
                </m:e>
              </m:nary>
            </m:oMath>
            <w:r>
              <w:rPr>
                <w:rFonts w:hint="eastAsia" w:hAnsi="Cambria Math"/>
                <w:color w:val="FF0000"/>
                <w:lang w:eastAsia="zh-CN"/>
              </w:rPr>
              <w:t>,</w:t>
            </w:r>
          </w:p>
          <w:p>
            <w:pPr>
              <w:pStyle w:val="122"/>
              <w:spacing w:before="120" w:line="280" w:lineRule="atLeast"/>
              <w:ind w:left="851"/>
              <w:jc w:val="center"/>
              <w:rPr>
                <w:rFonts w:hAnsi="Cambria Math"/>
                <w:color w:val="FF0000"/>
                <w:lang w:eastAsia="zh-CN"/>
              </w:rPr>
            </w:pP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lang w:eastAsia="zh-CN"/>
                    </w:rPr>
                    <m:t>k</m:t>
                  </m:r>
                  <m:ctrlPr>
                    <w:rPr>
                      <w:rFonts w:ascii="Cambria Math" w:hAnsi="Cambria Math"/>
                      <w:i/>
                      <w:color w:val="FF0000"/>
                    </w:rPr>
                  </m:ctrlPr>
                </m:sub>
                <m:sup>
                  <m:r>
                    <m:rPr/>
                    <w:rPr>
                      <w:rFonts w:ascii="Cambria Math" w:hAnsi="Cambria Math"/>
                      <w:color w:val="FF0000"/>
                      <w:lang w:eastAsia="zh-CN"/>
                    </w:rPr>
                    <m:t>2</m:t>
                  </m:r>
                  <m:ctrlPr>
                    <w:rPr>
                      <w:rFonts w:ascii="Cambria Math" w:hAnsi="Cambria Math"/>
                      <w:i/>
                      <w:color w:val="FF0000"/>
                    </w:rPr>
                  </m:ctrlPr>
                </m:sup>
              </m:sSubSup>
              <m:r>
                <m:rPr/>
                <w:rPr>
                  <w:rFonts w:ascii="Cambria Math" w:hAnsi="Cambria Math"/>
                  <w:color w:val="FF0000"/>
                  <w:lang w:eastAsia="zh-CN"/>
                </w:rPr>
                <m:t>=</m:t>
              </m:r>
              <m:f>
                <m:fPr>
                  <m:ctrlPr>
                    <w:rPr>
                      <w:rFonts w:ascii="Cambria Math" w:hAnsi="Cambria Math"/>
                      <w:i/>
                      <w:color w:val="FF0000"/>
                      <w:lang w:eastAsia="zh-CN"/>
                    </w:rPr>
                  </m:ctrlPr>
                </m:fPr>
                <m:num>
                  <m:r>
                    <m:rPr/>
                    <w:rPr>
                      <w:rFonts w:ascii="Cambria Math" w:hAnsi="Cambria Math"/>
                      <w:color w:val="FF0000"/>
                      <w:lang w:eastAsia="zh-CN"/>
                    </w:rPr>
                    <m:t>1</m:t>
                  </m:r>
                  <m:ctrlPr>
                    <w:rPr>
                      <w:rFonts w:ascii="Cambria Math" w:hAnsi="Cambria Math"/>
                      <w:i/>
                      <w:color w:val="FF0000"/>
                      <w:lang w:eastAsia="zh-CN"/>
                    </w:rPr>
                  </m:ctrlPr>
                </m:num>
                <m:den>
                  <m:r>
                    <m:rPr/>
                    <w:rPr>
                      <w:rFonts w:ascii="Cambria Math" w:hAnsi="Cambria Math"/>
                      <w:color w:val="FF0000"/>
                      <w:lang w:eastAsia="zh-CN"/>
                    </w:rPr>
                    <m:t>N</m:t>
                  </m:r>
                  <m:ctrlPr>
                    <w:rPr>
                      <w:rFonts w:ascii="Cambria Math" w:hAnsi="Cambria Math"/>
                      <w:i/>
                      <w:color w:val="FF0000"/>
                      <w:lang w:eastAsia="zh-CN"/>
                    </w:rPr>
                  </m:ctrlPr>
                </m:den>
              </m:f>
              <m:nary>
                <m:naryPr>
                  <m:chr m:val="∑"/>
                  <m:limLoc m:val="undOvr"/>
                  <m:ctrlPr>
                    <w:rPr>
                      <w:rFonts w:ascii="Cambria Math" w:hAnsi="Cambria Math"/>
                      <w:i/>
                      <w:color w:val="FF0000"/>
                      <w:lang w:eastAsia="zh-CN"/>
                    </w:rPr>
                  </m:ctrlPr>
                </m:naryPr>
                <m:sub>
                  <m:r>
                    <m:rPr/>
                    <w:rPr>
                      <w:rFonts w:ascii="Cambria Math" w:hAnsi="Cambria Math"/>
                      <w:color w:val="FF0000"/>
                      <w:lang w:eastAsia="zh-CN"/>
                    </w:rPr>
                    <m:t>n=0</m:t>
                  </m:r>
                  <m:ctrlPr>
                    <w:rPr>
                      <w:rFonts w:ascii="Cambria Math" w:hAnsi="Cambria Math"/>
                      <w:i/>
                      <w:color w:val="FF0000"/>
                      <w:lang w:eastAsia="zh-CN"/>
                    </w:rPr>
                  </m:ctrlPr>
                </m:sub>
                <m:sup>
                  <m:r>
                    <m:rPr/>
                    <w:rPr>
                      <w:rFonts w:ascii="Cambria Math" w:hAnsi="Cambria Math"/>
                      <w:color w:val="FF0000"/>
                      <w:lang w:eastAsia="zh-CN"/>
                    </w:rPr>
                    <m:t>N−1</m:t>
                  </m:r>
                  <m:ctrlPr>
                    <w:rPr>
                      <w:rFonts w:ascii="Cambria Math" w:hAnsi="Cambria Math"/>
                      <w:i/>
                      <w:color w:val="FF0000"/>
                      <w:lang w:eastAsia="zh-CN"/>
                    </w:rPr>
                  </m:ctrlPr>
                </m:sup>
                <m:e>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lang w:eastAsia="zh-CN"/>
                        </w:rPr>
                        <m:t>2</m:t>
                      </m:r>
                      <m:ctrlPr>
                        <w:rPr>
                          <w:rFonts w:ascii="Cambria Math" w:hAnsi="Cambria Math"/>
                          <w:i/>
                          <w:color w:val="FF0000"/>
                        </w:rPr>
                      </m:ctrlPr>
                    </m:sup>
                  </m:sSubSup>
                  <m:ctrlPr>
                    <w:rPr>
                      <w:rFonts w:ascii="Cambria Math" w:hAnsi="Cambria Math"/>
                      <w:i/>
                      <w:color w:val="FF0000"/>
                      <w:lang w:eastAsia="zh-CN"/>
                    </w:rPr>
                  </m:ctrlPr>
                </m:e>
              </m:nary>
            </m:oMath>
            <w:r>
              <w:rPr>
                <w:rFonts w:hint="eastAsia" w:hAnsi="Cambria Math"/>
                <w:color w:val="FF0000"/>
                <w:lang w:eastAsia="zh-CN"/>
              </w:rPr>
              <w:t>,</w:t>
            </w:r>
          </w:p>
          <w:p>
            <w:pPr>
              <w:pStyle w:val="122"/>
              <w:spacing w:before="120" w:line="280" w:lineRule="atLeast"/>
              <w:ind w:left="0"/>
              <w:rPr>
                <w:rFonts w:hAnsi="Cambria Math"/>
                <w:color w:val="FF0000"/>
                <w:lang w:eastAsia="zh-CN"/>
              </w:rPr>
            </w:pPr>
            <w:r>
              <w:rPr>
                <w:rFonts w:hint="eastAsia" w:hAnsi="Cambria Math"/>
                <w:color w:val="FF0000"/>
                <w:lang w:eastAsia="zh-CN"/>
              </w:rPr>
              <w:t xml:space="preserve">where </w:t>
            </w: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1</m:t>
                  </m:r>
                  <m:ctrlPr>
                    <w:rPr>
                      <w:rFonts w:ascii="Cambria Math" w:hAnsi="Cambria Math"/>
                      <w:i/>
                      <w:color w:val="FF0000"/>
                    </w:rPr>
                  </m:ctrlPr>
                </m:sup>
              </m:sSubSup>
            </m:oMath>
            <w:r>
              <w:rPr>
                <w:rFonts w:hint="eastAsia" w:hAnsi="Cambria Math"/>
                <w:color w:val="FF0000"/>
                <w:lang w:eastAsia="zh-CN"/>
              </w:rPr>
              <w:t xml:space="preserve"> and </w:t>
            </w: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lang w:eastAsia="zh-CN"/>
                    </w:rPr>
                    <m:t>2</m:t>
                  </m:r>
                  <m:ctrlPr>
                    <w:rPr>
                      <w:rFonts w:ascii="Cambria Math" w:hAnsi="Cambria Math"/>
                      <w:i/>
                      <w:color w:val="FF0000"/>
                    </w:rPr>
                  </m:ctrlPr>
                </m:sup>
              </m:sSubSup>
            </m:oMath>
            <w:r>
              <w:rPr>
                <w:rFonts w:hint="eastAsia" w:hAnsi="Cambria Math"/>
                <w:color w:val="FF0000"/>
                <w:lang w:eastAsia="zh-CN"/>
              </w:rPr>
              <w:t xml:space="preserve"> are subband SGCS values, each of which can be calculated as,</w:t>
            </w:r>
          </w:p>
          <w:p>
            <w:pPr>
              <w:pStyle w:val="122"/>
              <w:spacing w:before="120" w:line="280" w:lineRule="atLeast"/>
              <w:ind w:left="851"/>
              <w:jc w:val="center"/>
              <w:rPr>
                <w:color w:val="FF0000"/>
              </w:rPr>
            </w:pP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1</m:t>
                  </m:r>
                  <m:ctrlPr>
                    <w:rPr>
                      <w:rFonts w:ascii="Cambria Math" w:hAnsi="Cambria Math"/>
                      <w:i/>
                      <w:color w:val="FF0000"/>
                    </w:rPr>
                  </m:ctrlPr>
                </m:sup>
              </m:sSubSup>
              <m:r>
                <m:rP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hr m:val="̃"/>
                                      <m:ctrlPr>
                                        <w:rPr>
                                          <w:rFonts w:ascii="Cambria Math" w:hAnsi="Cambria Math"/>
                                          <w:i/>
                                          <w:color w:val="FF0000"/>
                                        </w:rPr>
                                      </m:ctrlPr>
                                    </m:accPr>
                                    <m:e>
                                      <m:r>
                                        <m:rPr>
                                          <m:sty m:val="bi"/>
                                        </m:rPr>
                                        <w:rPr>
                                          <w:rFonts w:ascii="Cambria Math" w:hAnsi="Cambria Math"/>
                                          <w:color w:val="FF0000"/>
                                        </w:rPr>
                                        <m:t>w</m:t>
                                      </m:r>
                                      <m:ctrlPr>
                                        <w:rPr>
                                          <w:rFonts w:ascii="Cambria Math" w:hAnsi="Cambria Math"/>
                                          <w:i/>
                                          <w:color w:val="FF0000"/>
                                        </w:rPr>
                                      </m:ctrlPr>
                                    </m:e>
                                  </m:acc>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H</m:t>
                                  </m:r>
                                  <m:ctrlPr>
                                    <w:rPr>
                                      <w:rFonts w:ascii="Cambria Math" w:hAnsi="Cambria Math"/>
                                      <w:i/>
                                      <w:color w:val="FF0000"/>
                                    </w:rPr>
                                  </m:ctrlPr>
                                </m:sup>
                              </m:sSubSup>
                              <m:sSub>
                                <m:sSubPr>
                                  <m:ctrlPr>
                                    <w:rPr>
                                      <w:rFonts w:ascii="Cambria Math" w:hAnsi="Cambria Math"/>
                                      <w:i/>
                                      <w:color w:val="FF0000"/>
                                    </w:rPr>
                                  </m:ctrlPr>
                                </m:sSubPr>
                                <m:e>
                                  <m:r>
                                    <m:rPr>
                                      <m:sty m:val="bi"/>
                                    </m:rPr>
                                    <w:rPr>
                                      <w:rFonts w:ascii="Cambria Math" w:hAnsi="Cambria Math"/>
                                      <w:color w:val="FF0000"/>
                                    </w:rPr>
                                    <m:t>w</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ctrlPr>
                            <w:rPr>
                              <w:rFonts w:ascii="Cambria Math" w:hAnsi="Cambria Math"/>
                              <w:i/>
                              <w:color w:val="FF0000"/>
                            </w:rPr>
                          </m:ctrlPr>
                        </m:num>
                        <m:den>
                          <m:d>
                            <m:dPr>
                              <m:begChr m:val="‖"/>
                              <m:endChr m:val="‖"/>
                              <m:ctrlPr>
                                <w:rPr>
                                  <w:rFonts w:ascii="Cambria Math" w:hAnsi="Cambria Math"/>
                                  <w:i/>
                                  <w:color w:val="FF0000"/>
                                </w:rPr>
                              </m:ctrlPr>
                            </m:dPr>
                            <m:e>
                              <m:sSub>
                                <m:sSubPr>
                                  <m:ctrlPr>
                                    <w:rPr>
                                      <w:rFonts w:ascii="Cambria Math" w:hAnsi="Cambria Math"/>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w</m:t>
                                      </m:r>
                                      <m:ctrlPr>
                                        <w:rPr>
                                          <w:rFonts w:ascii="Cambria Math" w:hAnsi="Cambria Math"/>
                                          <w:b/>
                                          <w:bCs/>
                                          <w:i/>
                                          <w:color w:val="FF0000"/>
                                        </w:rPr>
                                      </m:ctrlPr>
                                    </m:e>
                                  </m:acc>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r>
                            <m:rP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ctrlPr>
                            <w:rPr>
                              <w:rFonts w:ascii="Cambria Math" w:hAnsi="Cambria Math"/>
                              <w:i/>
                              <w:color w:val="FF0000"/>
                            </w:rPr>
                          </m:ctrlPr>
                        </m:den>
                      </m:f>
                      <m:ctrlPr>
                        <w:rPr>
                          <w:rFonts w:ascii="Cambria Math" w:hAnsi="Cambria Math"/>
                          <w:i/>
                          <w:color w:val="FF0000"/>
                        </w:rPr>
                      </m:ctrlPr>
                    </m:e>
                  </m:d>
                  <m:ctrlPr>
                    <w:rPr>
                      <w:rFonts w:ascii="Cambria Math" w:hAnsi="Cambria Math"/>
                      <w:i/>
                      <w:color w:val="FF0000"/>
                    </w:rPr>
                  </m:ctrlPr>
                </m:e>
                <m:sup>
                  <m:r>
                    <m:rPr/>
                    <w:rPr>
                      <w:rFonts w:ascii="Cambria Math" w:hAnsi="Cambria Math"/>
                      <w:color w:val="FF0000"/>
                    </w:rPr>
                    <m:t>2</m:t>
                  </m:r>
                  <m:ctrlPr>
                    <w:rPr>
                      <w:rFonts w:ascii="Cambria Math" w:hAnsi="Cambria Math"/>
                      <w:i/>
                      <w:color w:val="FF0000"/>
                    </w:rPr>
                  </m:ctrlPr>
                </m:sup>
              </m:sSup>
            </m:oMath>
            <w:r>
              <w:rPr>
                <w:color w:val="FF0000"/>
              </w:rPr>
              <w:t xml:space="preserve">, </w:t>
            </w:r>
          </w:p>
          <w:p>
            <w:pPr>
              <w:pStyle w:val="122"/>
              <w:spacing w:before="120" w:line="280" w:lineRule="atLeast"/>
              <w:ind w:left="851"/>
              <w:jc w:val="center"/>
              <w:rPr>
                <w:color w:val="FF0000"/>
              </w:rPr>
            </w:pP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2</m:t>
                  </m:r>
                  <m:ctrlPr>
                    <w:rPr>
                      <w:rFonts w:ascii="Cambria Math" w:hAnsi="Cambria Math"/>
                      <w:i/>
                      <w:color w:val="FF0000"/>
                    </w:rPr>
                  </m:ctrlPr>
                </m:sup>
              </m:sSubSup>
              <m:r>
                <m:rP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trlPr>
                                        <w:rPr>
                                          <w:rFonts w:ascii="Cambria Math" w:hAnsi="Cambria Math"/>
                                          <w:i/>
                                          <w:color w:val="FF0000"/>
                                        </w:rPr>
                                      </m:ctrlPr>
                                    </m:accPr>
                                    <m:e>
                                      <m:r>
                                        <m:rPr>
                                          <m:sty m:val="bi"/>
                                        </m:rPr>
                                        <w:rPr>
                                          <w:rFonts w:ascii="Cambria Math" w:hAnsi="Cambria Math"/>
                                          <w:color w:val="FF0000"/>
                                        </w:rPr>
                                        <m:t>w</m:t>
                                      </m:r>
                                      <m:ctrlPr>
                                        <w:rPr>
                                          <w:rFonts w:ascii="Cambria Math" w:hAnsi="Cambria Math"/>
                                          <w:i/>
                                          <w:color w:val="FF0000"/>
                                        </w:rPr>
                                      </m:ctrlPr>
                                    </m:e>
                                  </m:acc>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H</m:t>
                                  </m:r>
                                  <m:ctrlPr>
                                    <w:rPr>
                                      <w:rFonts w:ascii="Cambria Math" w:hAnsi="Cambria Math"/>
                                      <w:i/>
                                      <w:color w:val="FF0000"/>
                                    </w:rPr>
                                  </m:ctrlPr>
                                </m:sup>
                              </m:sSubSup>
                              <m:sSub>
                                <m:sSubPr>
                                  <m:ctrlPr>
                                    <w:rPr>
                                      <w:rFonts w:ascii="Cambria Math" w:hAnsi="Cambria Math"/>
                                      <w:i/>
                                      <w:color w:val="FF0000"/>
                                    </w:rPr>
                                  </m:ctrlPr>
                                </m:sSubPr>
                                <m:e>
                                  <m:r>
                                    <m:rPr>
                                      <m:sty m:val="bi"/>
                                    </m:rPr>
                                    <w:rPr>
                                      <w:rFonts w:ascii="Cambria Math" w:hAnsi="Cambria Math"/>
                                      <w:color w:val="FF0000"/>
                                    </w:rPr>
                                    <m:t>w</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ctrlPr>
                            <w:rPr>
                              <w:rFonts w:ascii="Cambria Math" w:hAnsi="Cambria Math"/>
                              <w:i/>
                              <w:color w:val="FF0000"/>
                            </w:rPr>
                          </m:ctrlPr>
                        </m:num>
                        <m:den>
                          <m:d>
                            <m:dPr>
                              <m:begChr m:val="‖"/>
                              <m:endChr m:val="‖"/>
                              <m:ctrlPr>
                                <w:rPr>
                                  <w:rFonts w:ascii="Cambria Math" w:hAnsi="Cambria Math"/>
                                  <w:i/>
                                  <w:color w:val="FF0000"/>
                                </w:rPr>
                              </m:ctrlPr>
                            </m:dPr>
                            <m:e>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ctrlPr>
                                        <w:rPr>
                                          <w:rFonts w:ascii="Cambria Math" w:hAnsi="Cambria Math"/>
                                          <w:i/>
                                          <w:color w:val="FF0000"/>
                                        </w:rPr>
                                      </m:ctrlPr>
                                    </m:e>
                                  </m:acc>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r>
                            <m:rP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ctrlPr>
                            <w:rPr>
                              <w:rFonts w:ascii="Cambria Math" w:hAnsi="Cambria Math"/>
                              <w:i/>
                              <w:color w:val="FF0000"/>
                            </w:rPr>
                          </m:ctrlPr>
                        </m:den>
                      </m:f>
                      <m:ctrlPr>
                        <w:rPr>
                          <w:rFonts w:ascii="Cambria Math" w:hAnsi="Cambria Math"/>
                          <w:i/>
                          <w:color w:val="FF0000"/>
                        </w:rPr>
                      </m:ctrlPr>
                    </m:e>
                  </m:d>
                  <m:ctrlPr>
                    <w:rPr>
                      <w:rFonts w:ascii="Cambria Math" w:hAnsi="Cambria Math"/>
                      <w:i/>
                      <w:color w:val="FF0000"/>
                    </w:rPr>
                  </m:ctrlPr>
                </m:e>
                <m:sup>
                  <m:r>
                    <m:rPr/>
                    <w:rPr>
                      <w:rFonts w:ascii="Cambria Math" w:hAnsi="Cambria Math"/>
                      <w:color w:val="FF0000"/>
                    </w:rPr>
                    <m:t>2</m:t>
                  </m:r>
                  <m:ctrlPr>
                    <w:rPr>
                      <w:rFonts w:ascii="Cambria Math" w:hAnsi="Cambria Math"/>
                      <w:i/>
                      <w:color w:val="FF0000"/>
                    </w:rPr>
                  </m:ctrlPr>
                </m:sup>
              </m:sSup>
            </m:oMath>
            <w:r>
              <w:rPr>
                <w:color w:val="FF0000"/>
              </w:rPr>
              <w:t xml:space="preserve">, </w:t>
            </w:r>
          </w:p>
          <w:p>
            <w:pPr>
              <w:pStyle w:val="122"/>
              <w:spacing w:before="120" w:line="280" w:lineRule="atLeast"/>
              <w:ind w:left="0"/>
              <w:jc w:val="left"/>
              <w:rPr>
                <w:color w:val="FF0000"/>
              </w:rPr>
            </w:pPr>
            <w:r>
              <w:rPr>
                <w:rFonts w:hint="eastAsia"/>
                <w:color w:val="FF0000"/>
                <w:lang w:eastAsia="zh-CN"/>
              </w:rPr>
              <w:t>w</w:t>
            </w:r>
            <w:r>
              <w:rPr>
                <w:color w:val="FF0000"/>
              </w:rPr>
              <w:t>here</w:t>
            </w:r>
            <w:r>
              <w:rPr>
                <w:rFonts w:hint="eastAsia"/>
                <w:color w:val="FF0000"/>
                <w:lang w:eastAsia="zh-CN"/>
              </w:rPr>
              <w:t xml:space="preserve"> </w:t>
            </w:r>
            <m:oMath>
              <m:r>
                <m:rPr/>
                <w:rPr>
                  <w:rFonts w:ascii="Cambria Math" w:hAnsi="Cambria Math"/>
                  <w:color w:val="FF0000"/>
                  <w:lang w:eastAsia="zh-CN"/>
                </w:rPr>
                <m:t>N</m:t>
              </m:r>
            </m:oMath>
            <w:r>
              <w:rPr>
                <w:rFonts w:hint="eastAsia"/>
                <w:color w:val="FF0000"/>
                <w:lang w:eastAsia="zh-CN"/>
              </w:rPr>
              <w:t xml:space="preserve"> is the total number of all the subbands configured by </w:t>
            </w:r>
            <w:r>
              <w:rPr>
                <w:rFonts w:hint="eastAsia"/>
                <w:i/>
                <w:iCs/>
                <w:color w:val="FF0000"/>
                <w:lang w:eastAsia="zh-CN"/>
              </w:rPr>
              <w:t>csi-ReportingBand</w:t>
            </w:r>
            <w:r>
              <w:rPr>
                <w:rFonts w:hint="eastAsia"/>
                <w:color w:val="FF0000"/>
                <w:lang w:eastAsia="zh-CN"/>
              </w:rPr>
              <w:t>.</w:t>
            </w:r>
            <w:r>
              <w:rPr>
                <w:color w:val="FF0000"/>
              </w:rPr>
              <w:t xml:space="preserve"> </w:t>
            </w:r>
            <m:oMath>
              <m:sSub>
                <m:sSubPr>
                  <m:ctrlPr>
                    <w:rPr>
                      <w:rFonts w:ascii="Cambria Math" w:hAnsi="Cambria Math"/>
                      <w:color w:val="FF0000"/>
                    </w:rPr>
                  </m:ctrlPr>
                </m:sSubPr>
                <m:e>
                  <m:acc>
                    <m:accPr>
                      <m:chr m:val="̃"/>
                      <m:ctrlPr>
                        <w:rPr>
                          <w:rFonts w:ascii="Cambria Math" w:hAnsi="Cambria Math"/>
                          <w:color w:val="FF0000"/>
                        </w:rPr>
                      </m:ctrlPr>
                    </m:accPr>
                    <m:e>
                      <m:r>
                        <m:rPr>
                          <m:sty m:val="bi"/>
                        </m:rPr>
                        <w:rPr>
                          <w:rFonts w:ascii="Cambria Math" w:hAnsi="Cambria Math"/>
                          <w:color w:val="FF0000"/>
                        </w:rPr>
                        <m:t>w</m:t>
                      </m:r>
                      <m:ctrlPr>
                        <w:rPr>
                          <w:rFonts w:ascii="Cambria Math" w:hAnsi="Cambria Math"/>
                          <w:color w:val="FF0000"/>
                        </w:rPr>
                      </m:ctrlPr>
                    </m:e>
                  </m:acc>
                  <m:ctrlPr>
                    <w:rPr>
                      <w:rFonts w:ascii="Cambria Math" w:hAnsi="Cambria Math"/>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color w:val="FF0000"/>
                    </w:rPr>
                  </m:ctrlPr>
                </m:sub>
              </m:sSub>
            </m:oMath>
            <w:r>
              <w:rPr>
                <w:color w:val="FF0000"/>
              </w:rPr>
              <w:t xml:space="preserve"> is the predicted precoder represented by predicted PMI for </w:t>
            </w:r>
            <m:oMath>
              <m:r>
                <m:rPr/>
                <w:rPr>
                  <w:rFonts w:ascii="Cambria Math" w:hAnsi="Cambria Math"/>
                  <w:color w:val="FF0000"/>
                  <w:lang w:val="en-GB"/>
                </w:rPr>
                <m:t>k</m:t>
              </m:r>
            </m:oMath>
            <w:r>
              <w:rPr>
                <w:color w:val="FF0000"/>
              </w:rPr>
              <w:t xml:space="preserve">-th layer, </w:t>
            </w:r>
            <m:oMath>
              <m:r>
                <m:rPr/>
                <w:rPr>
                  <w:rFonts w:ascii="Cambria Math" w:hAnsi="Cambria Math"/>
                  <w:color w:val="FF0000"/>
                  <w:lang w:eastAsia="zh-CN"/>
                </w:rPr>
                <m:t>n</m:t>
              </m:r>
            </m:oMath>
            <w:r>
              <w:rPr>
                <w:rFonts w:hint="eastAsia" w:hAnsi="Cambria Math"/>
                <w:iCs/>
                <w:color w:val="FF0000"/>
                <w:lang w:eastAsia="zh-CN"/>
              </w:rPr>
              <w:t>-</w:t>
            </w:r>
            <w:r>
              <w:rPr>
                <w:rFonts w:hint="eastAsia"/>
                <w:color w:val="FF0000"/>
                <w:lang w:eastAsia="zh-CN"/>
              </w:rPr>
              <w:t>th</w:t>
            </w:r>
            <w:r>
              <w:rPr>
                <w:color w:val="FF0000"/>
                <w:lang w:val="en-GB"/>
              </w:rPr>
              <w:t xml:space="preserve"> </w:t>
            </w:r>
            <w:r>
              <w:rPr>
                <w:rFonts w:hint="eastAsia"/>
                <w:color w:val="FF0000"/>
                <w:lang w:eastAsia="zh-CN"/>
              </w:rPr>
              <w:t>subband</w:t>
            </w:r>
            <w:r>
              <w:rPr>
                <w:color w:val="FF0000"/>
              </w:rPr>
              <w:t xml:space="preserve">, and for </w:t>
            </w:r>
            <m:oMath>
              <m:r>
                <m:rPr/>
                <w:rPr>
                  <w:rFonts w:ascii="Cambria Math" w:hAnsi="Cambria Math"/>
                  <w:color w:val="FF0000"/>
                </w:rPr>
                <m:t>S</m:t>
              </m:r>
            </m:oMath>
            <w:r>
              <w:rPr>
                <w:color w:val="FF0000"/>
              </w:rPr>
              <w:t xml:space="preserve">-th time instance corresponding to the report of the first Reporting Setting, </w:t>
            </w:r>
            <m:oMath>
              <m:sSub>
                <m:sSubPr>
                  <m:ctrlPr>
                    <w:rPr>
                      <w:rFonts w:ascii="Cambria Math" w:hAnsi="Cambria Math"/>
                      <w:i/>
                      <w:color w:val="FF0000"/>
                    </w:rPr>
                  </m:ctrlPr>
                </m:sSubPr>
                <m:e>
                  <m:r>
                    <m:rPr>
                      <m:sty m:val="bi"/>
                    </m:rPr>
                    <w:rPr>
                      <w:rFonts w:ascii="Cambria Math" w:hAnsi="Cambria Math"/>
                      <w:color w:val="FF0000"/>
                    </w:rPr>
                    <m:t>w</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oMath>
            <w:r>
              <w:rPr>
                <w:color w:val="FF0000"/>
              </w:rPr>
              <w:t xml:space="preserve"> is the precoder represented by non-predicted PMI for </w:t>
            </w:r>
            <m:oMath>
              <m:r>
                <m:rPr/>
                <w:rPr>
                  <w:rFonts w:ascii="Cambria Math" w:hAnsi="Cambria Math"/>
                  <w:color w:val="FF0000"/>
                  <w:lang w:val="en-GB"/>
                </w:rPr>
                <m:t>k</m:t>
              </m:r>
            </m:oMath>
            <w:r>
              <w:rPr>
                <w:color w:val="FF0000"/>
              </w:rPr>
              <w:t xml:space="preserve">-th layer, </w:t>
            </w:r>
            <m:oMath>
              <m:r>
                <m:rPr/>
                <w:rPr>
                  <w:rFonts w:ascii="Cambria Math" w:hAnsi="Cambria Math"/>
                  <w:color w:val="FF0000"/>
                  <w:lang w:eastAsia="zh-CN"/>
                </w:rPr>
                <m:t>n</m:t>
              </m:r>
            </m:oMath>
            <w:r>
              <w:rPr>
                <w:rFonts w:hint="eastAsia" w:hAnsi="Cambria Math"/>
                <w:iCs/>
                <w:color w:val="FF0000"/>
                <w:lang w:eastAsia="zh-CN"/>
              </w:rPr>
              <w:t>-</w:t>
            </w:r>
            <w:r>
              <w:rPr>
                <w:rFonts w:hint="eastAsia"/>
                <w:color w:val="FF0000"/>
                <w:lang w:eastAsia="zh-CN"/>
              </w:rPr>
              <w:t>th</w:t>
            </w:r>
            <w:r>
              <w:rPr>
                <w:color w:val="FF0000"/>
                <w:lang w:val="en-GB"/>
              </w:rPr>
              <w:t xml:space="preserve"> </w:t>
            </w:r>
            <w:r>
              <w:rPr>
                <w:rFonts w:hint="eastAsia"/>
                <w:color w:val="FF0000"/>
                <w:lang w:eastAsia="zh-CN"/>
              </w:rPr>
              <w:t>subband</w:t>
            </w:r>
            <w:r>
              <w:rPr>
                <w:color w:val="FF0000"/>
              </w:rPr>
              <w:t xml:space="preserve">, based on the channel measurement corresponding to the second Reporting Setting, and </w:t>
            </w:r>
            <m:oMath>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ctrlPr>
                        <w:rPr>
                          <w:rFonts w:ascii="Cambria Math" w:hAnsi="Cambria Math"/>
                          <w:i/>
                          <w:color w:val="FF0000"/>
                        </w:rPr>
                      </m:ctrlPr>
                    </m:e>
                  </m:acc>
                  <m:ctrlPr>
                    <w:rPr>
                      <w:rFonts w:ascii="Cambria Math" w:hAnsi="Cambria Math"/>
                      <w:i/>
                      <w:color w:val="FF0000"/>
                    </w:rPr>
                  </m:ctrlPr>
                </m:e>
                <m:sub>
                  <m:r>
                    <m:rPr/>
                    <w:rPr>
                      <w:rFonts w:ascii="Cambria Math" w:hAnsi="Cambria Math"/>
                      <w:color w:val="FF0000"/>
                    </w:rPr>
                    <m:t>k</m:t>
                  </m:r>
                  <m:ctrlPr>
                    <w:rPr>
                      <w:rFonts w:ascii="Cambria Math" w:hAnsi="Cambria Math"/>
                      <w:i/>
                      <w:color w:val="FF0000"/>
                    </w:rPr>
                  </m:ctrlPr>
                </m:sub>
              </m:sSub>
            </m:oMath>
            <w:r>
              <w:rPr>
                <w:color w:val="FF0000"/>
              </w:rPr>
              <w:t xml:space="preserve"> is the precoder represented by PMI for </w:t>
            </w:r>
            <m:oMath>
              <m:r>
                <m:rPr/>
                <w:rPr>
                  <w:rFonts w:ascii="Cambria Math" w:hAnsi="Cambria Math"/>
                  <w:color w:val="FF0000"/>
                  <w:lang w:val="en-GB"/>
                </w:rPr>
                <m:t>k</m:t>
              </m:r>
            </m:oMath>
            <w:r>
              <w:rPr>
                <w:color w:val="FF0000"/>
              </w:rPr>
              <w:t xml:space="preserve">-th layer, </w:t>
            </w:r>
            <m:oMath>
              <m:r>
                <m:rPr/>
                <w:rPr>
                  <w:rFonts w:ascii="Cambria Math" w:hAnsi="Cambria Math"/>
                  <w:color w:val="FF0000"/>
                  <w:lang w:eastAsia="zh-CN"/>
                </w:rPr>
                <m:t>n</m:t>
              </m:r>
            </m:oMath>
            <w:r>
              <w:rPr>
                <w:rFonts w:hint="eastAsia" w:hAnsi="Cambria Math"/>
                <w:iCs/>
                <w:color w:val="FF0000"/>
                <w:lang w:eastAsia="zh-CN"/>
              </w:rPr>
              <w:t>-</w:t>
            </w:r>
            <w:r>
              <w:rPr>
                <w:rFonts w:hint="eastAsia"/>
                <w:color w:val="FF0000"/>
                <w:lang w:eastAsia="zh-CN"/>
              </w:rPr>
              <w:t>th</w:t>
            </w:r>
            <w:r>
              <w:rPr>
                <w:color w:val="FF0000"/>
                <w:lang w:val="en-GB"/>
              </w:rPr>
              <w:t xml:space="preserve"> </w:t>
            </w:r>
            <w:r>
              <w:rPr>
                <w:rFonts w:hint="eastAsia"/>
                <w:color w:val="FF0000"/>
                <w:lang w:eastAsia="zh-CN"/>
              </w:rPr>
              <w:t>subband</w:t>
            </w:r>
            <w:r>
              <w:rPr>
                <w:color w:val="FF0000"/>
              </w:rPr>
              <w:t>, based on the latest CSI-RS resource transmission occasion, no later than CSI reference resource, corresponding to the report of the first Reporting Setting.</w:t>
            </w:r>
            <w:r>
              <w:rPr>
                <w:rFonts w:hint="eastAsia"/>
                <w:color w:val="FF0000"/>
                <w:lang w:eastAsia="zh-CN"/>
              </w:rPr>
              <w:t xml:space="preserve"> </w:t>
            </w:r>
          </w:p>
          <w:p>
            <w:pPr>
              <w:pStyle w:val="122"/>
              <w:spacing w:before="120" w:line="280" w:lineRule="atLeast"/>
              <w:ind w:left="851"/>
              <w:jc w:val="center"/>
              <w:rPr>
                <w:strike/>
                <w:color w:val="000000"/>
              </w:rPr>
            </w:pPr>
            <m:oMath>
              <m:sSubSup>
                <m:sSubSupPr>
                  <m:ctrlPr>
                    <w:rPr>
                      <w:rFonts w:ascii="Cambria Math" w:hAnsi="Cambria Math"/>
                      <w:i/>
                      <w:strike/>
                      <w:color w:val="000000"/>
                    </w:rPr>
                  </m:ctrlPr>
                </m:sSubSupPr>
                <m:e>
                  <m:r>
                    <m:rPr/>
                    <w:rPr>
                      <w:rFonts w:ascii="Cambria Math" w:hAnsi="Cambria Math"/>
                      <w:strike/>
                      <w:color w:val="000000"/>
                    </w:rPr>
                    <m:t>SGCS</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up>
                  <m:r>
                    <m:rPr/>
                    <w:rPr>
                      <w:rFonts w:ascii="Cambria Math" w:hAnsi="Cambria Math"/>
                      <w:strike/>
                      <w:color w:val="000000"/>
                    </w:rPr>
                    <m:t>1</m:t>
                  </m:r>
                  <m:ctrlPr>
                    <w:rPr>
                      <w:rFonts w:ascii="Cambria Math" w:hAnsi="Cambria Math"/>
                      <w:i/>
                      <w:strike/>
                      <w:color w:val="000000"/>
                    </w:rPr>
                  </m:ctrlPr>
                </m:sup>
              </m:sSubSup>
              <m:r>
                <m:rP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hr m:val="̃"/>
                                      <m:ctrlPr>
                                        <w:rPr>
                                          <w:rFonts w:ascii="Cambria Math" w:hAnsi="Cambria Math"/>
                                          <w:i/>
                                          <w:strike/>
                                          <w:color w:val="000000"/>
                                        </w:rPr>
                                      </m:ctrlPr>
                                    </m:accPr>
                                    <m:e>
                                      <m:r>
                                        <m:rPr>
                                          <m:sty m:val="bi"/>
                                        </m:rPr>
                                        <w:rPr>
                                          <w:rFonts w:ascii="Cambria Math" w:hAnsi="Cambria Math"/>
                                          <w:strike/>
                                          <w:color w:val="000000"/>
                                        </w:rPr>
                                        <m:t>w</m:t>
                                      </m:r>
                                      <m:ctrlPr>
                                        <w:rPr>
                                          <w:rFonts w:ascii="Cambria Math" w:hAnsi="Cambria Math"/>
                                          <w:i/>
                                          <w:strike/>
                                          <w:color w:val="000000"/>
                                        </w:rPr>
                                      </m:ctrlPr>
                                    </m:e>
                                  </m:acc>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up>
                                  <m:r>
                                    <m:rPr/>
                                    <w:rPr>
                                      <w:rFonts w:ascii="Cambria Math" w:hAnsi="Cambria Math"/>
                                      <w:strike/>
                                      <w:color w:val="000000"/>
                                    </w:rPr>
                                    <m:t>H</m:t>
                                  </m:r>
                                  <m:ctrlPr>
                                    <w:rPr>
                                      <w:rFonts w:ascii="Cambria Math" w:hAnsi="Cambria Math"/>
                                      <w:i/>
                                      <w:strike/>
                                      <w:color w:val="000000"/>
                                    </w:rPr>
                                  </m:ctrlPr>
                                </m:sup>
                              </m:sSubSup>
                              <m:sSub>
                                <m:sSubPr>
                                  <m:ctrlPr>
                                    <w:rPr>
                                      <w:rFonts w:ascii="Cambria Math" w:hAnsi="Cambria Math"/>
                                      <w:i/>
                                      <w:strike/>
                                      <w:color w:val="000000"/>
                                    </w:rPr>
                                  </m:ctrlPr>
                                </m:sSubPr>
                                <m:e>
                                  <m:r>
                                    <m:rPr>
                                      <m:sty m:val="bi"/>
                                    </m:rPr>
                                    <w:rPr>
                                      <w:rFonts w:ascii="Cambria Math" w:hAnsi="Cambria Math"/>
                                      <w:strike/>
                                      <w:color w:val="000000"/>
                                    </w:rPr>
                                    <m:t>w</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ctrlPr>
                            <w:rPr>
                              <w:rFonts w:ascii="Cambria Math" w:hAnsi="Cambria Math"/>
                              <w:i/>
                              <w:strike/>
                              <w:color w:val="000000"/>
                            </w:rPr>
                          </m:ctrlPr>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hr m:val="̃"/>
                                      <m:ctrlPr>
                                        <w:rPr>
                                          <w:rFonts w:ascii="Cambria Math" w:hAnsi="Cambria Math"/>
                                          <w:b/>
                                          <w:bCs/>
                                          <w:i/>
                                          <w:strike/>
                                          <w:color w:val="000000"/>
                                        </w:rPr>
                                      </m:ctrlPr>
                                    </m:accPr>
                                    <m:e>
                                      <m:r>
                                        <m:rPr>
                                          <m:sty m:val="bi"/>
                                        </m:rPr>
                                        <w:rPr>
                                          <w:rFonts w:ascii="Cambria Math" w:hAnsi="Cambria Math"/>
                                          <w:strike/>
                                          <w:color w:val="000000"/>
                                        </w:rPr>
                                        <m:t>w</m:t>
                                      </m:r>
                                      <m:ctrlPr>
                                        <w:rPr>
                                          <w:rFonts w:ascii="Cambria Math" w:hAnsi="Cambria Math"/>
                                          <w:b/>
                                          <w:bCs/>
                                          <w:i/>
                                          <w:strike/>
                                          <w:color w:val="000000"/>
                                        </w:rPr>
                                      </m:ctrlPr>
                                    </m:e>
                                  </m:acc>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r>
                            <m:rP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ctrlPr>
                            <w:rPr>
                              <w:rFonts w:ascii="Cambria Math" w:hAnsi="Cambria Math"/>
                              <w:i/>
                              <w:strike/>
                              <w:color w:val="000000"/>
                            </w:rPr>
                          </m:ctrlPr>
                        </m:den>
                      </m:f>
                      <m:ctrlPr>
                        <w:rPr>
                          <w:rFonts w:ascii="Cambria Math" w:hAnsi="Cambria Math"/>
                          <w:i/>
                          <w:strike/>
                          <w:color w:val="000000"/>
                        </w:rPr>
                      </m:ctrlPr>
                    </m:e>
                  </m:d>
                  <m:ctrlPr>
                    <w:rPr>
                      <w:rFonts w:ascii="Cambria Math" w:hAnsi="Cambria Math"/>
                      <w:i/>
                      <w:strike/>
                      <w:color w:val="000000"/>
                    </w:rPr>
                  </m:ctrlPr>
                </m:e>
                <m:sup>
                  <m:r>
                    <m:rPr/>
                    <w:rPr>
                      <w:rFonts w:ascii="Cambria Math" w:hAnsi="Cambria Math"/>
                      <w:strike/>
                      <w:color w:val="000000"/>
                    </w:rPr>
                    <m:t>2</m:t>
                  </m:r>
                  <m:ctrlPr>
                    <w:rPr>
                      <w:rFonts w:ascii="Cambria Math" w:hAnsi="Cambria Math"/>
                      <w:i/>
                      <w:strike/>
                      <w:color w:val="000000"/>
                    </w:rPr>
                  </m:ctrlPr>
                </m:sup>
              </m:sSup>
            </m:oMath>
            <w:r>
              <w:rPr>
                <w:strike/>
                <w:color w:val="000000"/>
              </w:rPr>
              <w:t xml:space="preserve">, </w:t>
            </w:r>
          </w:p>
          <w:p>
            <w:pPr>
              <w:pStyle w:val="122"/>
              <w:spacing w:before="120" w:line="280" w:lineRule="atLeast"/>
              <w:ind w:left="851"/>
              <w:jc w:val="center"/>
              <w:rPr>
                <w:strike/>
                <w:color w:val="000000"/>
              </w:rPr>
            </w:pPr>
            <m:oMath>
              <m:sSubSup>
                <m:sSubSupPr>
                  <m:ctrlPr>
                    <w:rPr>
                      <w:rFonts w:ascii="Cambria Math" w:hAnsi="Cambria Math"/>
                      <w:i/>
                      <w:strike/>
                      <w:color w:val="000000"/>
                    </w:rPr>
                  </m:ctrlPr>
                </m:sSubSupPr>
                <m:e>
                  <m:r>
                    <m:rPr/>
                    <w:rPr>
                      <w:rFonts w:ascii="Cambria Math" w:hAnsi="Cambria Math"/>
                      <w:strike/>
                      <w:color w:val="000000"/>
                    </w:rPr>
                    <m:t>SGCS</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up>
                  <m:r>
                    <m:rPr/>
                    <w:rPr>
                      <w:rFonts w:ascii="Cambria Math" w:hAnsi="Cambria Math"/>
                      <w:strike/>
                      <w:color w:val="000000"/>
                    </w:rPr>
                    <m:t>2</m:t>
                  </m:r>
                  <m:ctrlPr>
                    <w:rPr>
                      <w:rFonts w:ascii="Cambria Math" w:hAnsi="Cambria Math"/>
                      <w:i/>
                      <w:strike/>
                      <w:color w:val="000000"/>
                    </w:rPr>
                  </m:ctrlPr>
                </m:sup>
              </m:sSubSup>
              <m:r>
                <m:rP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trlPr>
                                        <w:rPr>
                                          <w:rFonts w:ascii="Cambria Math" w:hAnsi="Cambria Math"/>
                                          <w:i/>
                                          <w:strike/>
                                          <w:color w:val="000000"/>
                                        </w:rPr>
                                      </m:ctrlPr>
                                    </m:accPr>
                                    <m:e>
                                      <m:r>
                                        <m:rPr>
                                          <m:sty m:val="bi"/>
                                        </m:rPr>
                                        <w:rPr>
                                          <w:rFonts w:ascii="Cambria Math" w:hAnsi="Cambria Math"/>
                                          <w:strike/>
                                          <w:color w:val="000000"/>
                                        </w:rPr>
                                        <m:t>w</m:t>
                                      </m:r>
                                      <m:ctrlPr>
                                        <w:rPr>
                                          <w:rFonts w:ascii="Cambria Math" w:hAnsi="Cambria Math"/>
                                          <w:i/>
                                          <w:strike/>
                                          <w:color w:val="000000"/>
                                        </w:rPr>
                                      </m:ctrlPr>
                                    </m:e>
                                  </m:acc>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up>
                                  <m:r>
                                    <m:rPr/>
                                    <w:rPr>
                                      <w:rFonts w:ascii="Cambria Math" w:hAnsi="Cambria Math"/>
                                      <w:strike/>
                                      <w:color w:val="000000"/>
                                    </w:rPr>
                                    <m:t>H</m:t>
                                  </m:r>
                                  <m:ctrlPr>
                                    <w:rPr>
                                      <w:rFonts w:ascii="Cambria Math" w:hAnsi="Cambria Math"/>
                                      <w:i/>
                                      <w:strike/>
                                      <w:color w:val="000000"/>
                                    </w:rPr>
                                  </m:ctrlPr>
                                </m:sup>
                              </m:sSubSup>
                              <m:sSub>
                                <m:sSubPr>
                                  <m:ctrlPr>
                                    <w:rPr>
                                      <w:rFonts w:ascii="Cambria Math" w:hAnsi="Cambria Math"/>
                                      <w:i/>
                                      <w:strike/>
                                      <w:color w:val="000000"/>
                                    </w:rPr>
                                  </m:ctrlPr>
                                </m:sSubPr>
                                <m:e>
                                  <m:r>
                                    <m:rPr>
                                      <m:sty m:val="bi"/>
                                    </m:rPr>
                                    <w:rPr>
                                      <w:rFonts w:ascii="Cambria Math" w:hAnsi="Cambria Math"/>
                                      <w:strike/>
                                      <w:color w:val="000000"/>
                                    </w:rPr>
                                    <m:t>w</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ctrlPr>
                            <w:rPr>
                              <w:rFonts w:ascii="Cambria Math" w:hAnsi="Cambria Math"/>
                              <w:i/>
                              <w:strike/>
                              <w:color w:val="000000"/>
                            </w:rPr>
                          </m:ctrlPr>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ctrlPr>
                                        <w:rPr>
                                          <w:rFonts w:ascii="Cambria Math" w:hAnsi="Cambria Math"/>
                                          <w:i/>
                                          <w:strike/>
                                          <w:color w:val="000000"/>
                                        </w:rPr>
                                      </m:ctrlPr>
                                    </m:e>
                                  </m:acc>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r>
                            <m:rP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ctrlPr>
                            <w:rPr>
                              <w:rFonts w:ascii="Cambria Math" w:hAnsi="Cambria Math"/>
                              <w:i/>
                              <w:strike/>
                              <w:color w:val="000000"/>
                            </w:rPr>
                          </m:ctrlPr>
                        </m:den>
                      </m:f>
                      <m:ctrlPr>
                        <w:rPr>
                          <w:rFonts w:ascii="Cambria Math" w:hAnsi="Cambria Math"/>
                          <w:i/>
                          <w:strike/>
                          <w:color w:val="000000"/>
                        </w:rPr>
                      </m:ctrlPr>
                    </m:e>
                  </m:d>
                  <m:ctrlPr>
                    <w:rPr>
                      <w:rFonts w:ascii="Cambria Math" w:hAnsi="Cambria Math"/>
                      <w:i/>
                      <w:strike/>
                      <w:color w:val="000000"/>
                    </w:rPr>
                  </m:ctrlPr>
                </m:e>
                <m:sup>
                  <m:r>
                    <m:rPr/>
                    <w:rPr>
                      <w:rFonts w:ascii="Cambria Math" w:hAnsi="Cambria Math"/>
                      <w:strike/>
                      <w:color w:val="000000"/>
                    </w:rPr>
                    <m:t>2</m:t>
                  </m:r>
                  <m:ctrlPr>
                    <w:rPr>
                      <w:rFonts w:ascii="Cambria Math" w:hAnsi="Cambria Math"/>
                      <w:i/>
                      <w:strike/>
                      <w:color w:val="000000"/>
                    </w:rPr>
                  </m:ctrlPr>
                </m:sup>
              </m:sSup>
            </m:oMath>
            <w:r>
              <w:rPr>
                <w:strike/>
                <w:color w:val="000000"/>
              </w:rPr>
              <w:t xml:space="preserve">, </w:t>
            </w:r>
          </w:p>
          <w:p>
            <w:pPr>
              <w:numPr>
                <w:ilvl w:val="255"/>
                <w:numId w:val="0"/>
              </w:numPr>
              <w:spacing w:before="120" w:line="280" w:lineRule="atLeast"/>
              <w:rPr>
                <w:strike/>
                <w:lang w:val="en-US" w:eastAsia="zh-CN"/>
              </w:rPr>
            </w:pPr>
            <w:r>
              <w:rPr>
                <w:strike/>
              </w:rPr>
              <w:t xml:space="preserve">where </w:t>
            </w:r>
            <m:oMath>
              <m:sSub>
                <m:sSubPr>
                  <m:ctrlPr>
                    <w:rPr>
                      <w:rFonts w:ascii="Cambria Math" w:hAnsi="Cambria Math"/>
                      <w:strike/>
                    </w:rPr>
                  </m:ctrlPr>
                </m:sSubPr>
                <m:e>
                  <m:acc>
                    <m:accPr>
                      <m:chr m:val="̃"/>
                      <m:ctrlPr>
                        <w:rPr>
                          <w:rFonts w:ascii="Cambria Math" w:hAnsi="Cambria Math"/>
                          <w:strike/>
                        </w:rPr>
                      </m:ctrlPr>
                    </m:accPr>
                    <m:e>
                      <m:r>
                        <m:rPr>
                          <m:sty m:val="bi"/>
                        </m:rPr>
                        <w:rPr>
                          <w:rFonts w:ascii="Cambria Math" w:hAnsi="Cambria Math"/>
                          <w:strike/>
                        </w:rPr>
                        <m:t>w</m:t>
                      </m:r>
                      <m:ctrlPr>
                        <w:rPr>
                          <w:rFonts w:ascii="Cambria Math" w:hAnsi="Cambria Math"/>
                          <w:strike/>
                        </w:rPr>
                      </m:ctrlPr>
                    </m:e>
                  </m:acc>
                  <m:ctrlPr>
                    <w:rPr>
                      <w:rFonts w:ascii="Cambria Math" w:hAnsi="Cambria Math"/>
                      <w:strike/>
                    </w:rPr>
                  </m:ctrlPr>
                </m:e>
                <m:sub>
                  <m:r>
                    <m:rPr/>
                    <w:rPr>
                      <w:rFonts w:ascii="Cambria Math" w:hAnsi="Cambria Math"/>
                      <w:strike/>
                    </w:rPr>
                    <m:t>k</m:t>
                  </m:r>
                  <m:ctrlPr>
                    <w:rPr>
                      <w:rFonts w:ascii="Cambria Math" w:hAnsi="Cambria Math"/>
                      <w:strike/>
                    </w:rPr>
                  </m:ctrlPr>
                </m:sub>
              </m:sSub>
            </m:oMath>
            <w:r>
              <w:rPr>
                <w:strike/>
              </w:rPr>
              <w:t xml:space="preserve"> is the predicted precoder represented by predicted PMI for </w:t>
            </w:r>
            <m:oMath>
              <m:r>
                <m:rPr/>
                <w:rPr>
                  <w:rFonts w:ascii="Cambria Math" w:hAnsi="Cambria Math"/>
                  <w:strike/>
                </w:rPr>
                <m:t>k</m:t>
              </m:r>
            </m:oMath>
            <w:r>
              <w:rPr>
                <w:strike/>
              </w:rPr>
              <w:t xml:space="preserve">-th layer, averaged over all the subbands configured by </w:t>
            </w:r>
            <w:r>
              <w:rPr>
                <w:i/>
                <w:iCs/>
                <w:strike/>
              </w:rPr>
              <w:t>csi-ReportingBand</w:t>
            </w:r>
            <w:r>
              <w:rPr>
                <w:strike/>
              </w:rPr>
              <w:t xml:space="preserve">, and for </w:t>
            </w:r>
            <m:oMath>
              <m:r>
                <m:rPr/>
                <w:rPr>
                  <w:rFonts w:ascii="Cambria Math" w:hAnsi="Cambria Math"/>
                  <w:strike/>
                </w:rPr>
                <m:t>S</m:t>
              </m:r>
            </m:oMath>
            <w:r>
              <w:rPr>
                <w:strike/>
              </w:rPr>
              <w:t xml:space="preserve">-th time instance corresponding to the report of the first Reporting Setting, </w:t>
            </w:r>
            <m:oMath>
              <m:sSub>
                <m:sSubPr>
                  <m:ctrlPr>
                    <w:rPr>
                      <w:rFonts w:ascii="Cambria Math" w:hAnsi="Cambria Math"/>
                      <w:i/>
                      <w:strike/>
                      <w:color w:val="000000"/>
                    </w:rPr>
                  </m:ctrlPr>
                </m:sSubPr>
                <m:e>
                  <m:r>
                    <m:rPr>
                      <m:sty m:val="bi"/>
                    </m:rPr>
                    <w:rPr>
                      <w:rFonts w:ascii="Cambria Math" w:hAnsi="Cambria Math"/>
                      <w:strike/>
                      <w:color w:val="000000"/>
                    </w:rPr>
                    <m:t>w</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oMath>
            <w:r>
              <w:rPr>
                <w:strike/>
              </w:rPr>
              <w:t xml:space="preserve"> is the precoder represented by non-predicted PMI for </w:t>
            </w:r>
            <m:oMath>
              <m:r>
                <m:rPr/>
                <w:rPr>
                  <w:rFonts w:ascii="Cambria Math" w:hAnsi="Cambria Math"/>
                  <w:strike/>
                </w:rPr>
                <m:t>k</m:t>
              </m:r>
            </m:oMath>
            <w:r>
              <w:rPr>
                <w:strike/>
              </w:rPr>
              <w:t xml:space="preserve">-th layer, averaged over all the subbands configured by </w:t>
            </w:r>
            <w:r>
              <w:rPr>
                <w:i/>
                <w:iCs/>
                <w:strike/>
              </w:rPr>
              <w:t>csi-ReportingBand</w:t>
            </w:r>
            <w:r>
              <w:rPr>
                <w:strike/>
              </w:rPr>
              <w:t xml:space="preserve">, based on the channel measurement corresponding to the second Reporting Setting, and </w:t>
            </w:r>
            <m:oMath>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ctrlPr>
                        <w:rPr>
                          <w:rFonts w:ascii="Cambria Math" w:hAnsi="Cambria Math"/>
                          <w:i/>
                          <w:strike/>
                          <w:color w:val="000000"/>
                        </w:rPr>
                      </m:ctrlPr>
                    </m:e>
                  </m:acc>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oMath>
            <w:r>
              <w:rPr>
                <w:strike/>
              </w:rPr>
              <w:t xml:space="preserve"> is the precoder represented by PMI for </w:t>
            </w:r>
            <m:oMath>
              <m:r>
                <m:rPr/>
                <w:rPr>
                  <w:rFonts w:ascii="Cambria Math" w:hAnsi="Cambria Math"/>
                  <w:strike/>
                </w:rPr>
                <m:t>k</m:t>
              </m:r>
            </m:oMath>
            <w:r>
              <w:rPr>
                <w:strike/>
              </w:rPr>
              <w:t xml:space="preserve">-th layer, averaged over all the subbands configured by </w:t>
            </w:r>
            <w:r>
              <w:rPr>
                <w:i/>
                <w:iCs/>
                <w:strike/>
              </w:rPr>
              <w:t>csi-ReportingBand</w:t>
            </w:r>
            <w:r>
              <w:rPr>
                <w:strike/>
              </w:rPr>
              <w:t>, based on the latest CSI-RS resource transmission occasion, no later than CSI reference resource, corresponding to the report of the first Reporting Setting.</w:t>
            </w:r>
          </w:p>
        </w:tc>
      </w:tr>
    </w:tbl>
    <w:p>
      <w:pPr>
        <w:numPr>
          <w:ilvl w:val="255"/>
          <w:numId w:val="0"/>
        </w:numPr>
        <w:rPr>
          <w:rFonts w:hAnsi="Cambria Math" w:cs="Arial"/>
          <w:color w:val="000000" w:themeColor="text1"/>
          <w:lang w:val="en-US" w:eastAsia="zh-CN"/>
          <w14:textFill>
            <w14:solidFill>
              <w14:schemeClr w14:val="tx1"/>
            </w14:solidFill>
          </w14:textFill>
        </w:rPr>
      </w:pPr>
    </w:p>
    <w:p>
      <w:pPr>
        <w:pStyle w:val="3"/>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Discussions about the triggering occasion for SP monitoring report</w:t>
      </w:r>
    </w:p>
    <w:p>
      <w:pPr>
        <w:numPr>
          <w:ilvl w:val="255"/>
          <w:numId w:val="0"/>
        </w:numPr>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In RAN1#121 meeting, companies studied the triggering issue for monitoring report for monitoring report associated with an aperiodic report and came to the following agreement.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after="0" w:line="280" w:lineRule="atLeast"/>
              <w:rPr>
                <w:rFonts w:eastAsia="等线"/>
                <w:highlight w:val="green"/>
                <w:lang w:eastAsia="zh-CN"/>
              </w:rPr>
            </w:pPr>
            <w:r>
              <w:rPr>
                <w:rFonts w:hint="eastAsia" w:eastAsia="等线"/>
                <w:highlight w:val="green"/>
                <w:lang w:eastAsia="zh-CN"/>
              </w:rPr>
              <w:t>Agreement</w:t>
            </w:r>
          </w:p>
          <w:p>
            <w:pPr>
              <w:numPr>
                <w:ilvl w:val="0"/>
                <w:numId w:val="22"/>
              </w:numPr>
              <w:spacing w:before="0" w:after="0" w:line="280" w:lineRule="atLeast"/>
              <w:ind w:left="284" w:hanging="284"/>
              <w:rPr>
                <w:lang w:eastAsia="de-DE"/>
              </w:rPr>
            </w:pPr>
            <w:r>
              <w:rPr>
                <w:lang w:eastAsia="ko-KR"/>
              </w:rPr>
              <w:t xml:space="preserve">For CSI prediction using UE-side model, </w:t>
            </w:r>
            <w:r>
              <w:t>for UE assisted performance monitoring</w:t>
            </w:r>
            <w:r>
              <w:rPr>
                <w:lang w:eastAsia="de-DE"/>
              </w:rPr>
              <w:t xml:space="preserve">, </w:t>
            </w:r>
          </w:p>
          <w:p>
            <w:pPr>
              <w:pStyle w:val="65"/>
              <w:numPr>
                <w:ilvl w:val="0"/>
                <w:numId w:val="21"/>
              </w:numPr>
              <w:spacing w:before="0" w:after="0" w:line="280" w:lineRule="atLeast"/>
            </w:pPr>
            <w:r>
              <w:t xml:space="preserve">If the inference measurement resource is aperiodic CSI-RS, UE is expected to receive the monitoring report trigger, </w:t>
            </w:r>
            <w:r>
              <w:rPr>
                <w:rFonts w:hint="eastAsia"/>
              </w:rPr>
              <w:t xml:space="preserve">if any, </w:t>
            </w:r>
            <w:r>
              <w:t xml:space="preserve">no later than the first symbol of the earliest occasion of K inference measurement resources that are no later than the CSI reference resource of the associated inference report; </w:t>
            </w:r>
          </w:p>
          <w:p>
            <w:pPr>
              <w:pStyle w:val="65"/>
              <w:numPr>
                <w:ilvl w:val="1"/>
                <w:numId w:val="21"/>
              </w:numPr>
              <w:spacing w:before="0" w:after="0" w:line="280" w:lineRule="atLeast"/>
            </w:pPr>
            <w:r>
              <w:t>Additional active resource/port counting time for the aperiodic resource of the inference report is from the end of the inference report to the end of the triggered monitoring report</w:t>
            </w:r>
          </w:p>
          <w:p>
            <w:pPr>
              <w:pStyle w:val="65"/>
              <w:numPr>
                <w:ilvl w:val="0"/>
                <w:numId w:val="21"/>
              </w:numPr>
              <w:spacing w:before="0" w:after="0" w:line="280" w:lineRule="atLeast"/>
            </w:pPr>
            <w:r>
              <w:t>If inference report is aperiodic and the inference measurement resource is periodic or semi-persistent, UE is expected to receive the monitoring report trigger,</w:t>
            </w:r>
            <w:r>
              <w:rPr>
                <w:rFonts w:hint="eastAsia"/>
              </w:rPr>
              <w:t xml:space="preserve"> if any,</w:t>
            </w:r>
            <w:r>
              <w:t xml:space="preserve"> no later than the first symbol of the earliest occasion of the most recent Kp inference measurement resource transmission occasions that are no later than the CSI reference resource of the associated inference report</w:t>
            </w:r>
          </w:p>
          <w:p>
            <w:pPr>
              <w:numPr>
                <w:ilvl w:val="255"/>
                <w:numId w:val="0"/>
              </w:numPr>
              <w:spacing w:before="120" w:line="280" w:lineRule="atLeast"/>
              <w:rPr>
                <w:rFonts w:hAnsi="Cambria Math" w:cs="Arial"/>
                <w:color w:val="000000" w:themeColor="text1"/>
                <w:lang w:val="en-US" w:eastAsia="zh-CN"/>
                <w14:textFill>
                  <w14:solidFill>
                    <w14:schemeClr w14:val="tx1"/>
                  </w14:solidFill>
                </w14:textFill>
              </w:rPr>
            </w:pPr>
          </w:p>
        </w:tc>
      </w:tr>
    </w:tbl>
    <w:p>
      <w:pPr>
        <w:numPr>
          <w:ilvl w:val="255"/>
          <w:numId w:val="0"/>
        </w:numPr>
        <w:rPr>
          <w:rFonts w:hAnsi="Cambria Math" w:cs="Arial"/>
          <w:color w:val="000000" w:themeColor="text1"/>
          <w:lang w:val="en-US" w:eastAsia="zh-CN"/>
          <w14:textFill>
            <w14:solidFill>
              <w14:schemeClr w14:val="tx1"/>
            </w14:solidFill>
          </w14:textFill>
        </w:rPr>
      </w:pPr>
    </w:p>
    <w:p>
      <w:pPr>
        <w:numPr>
          <w:ilvl w:val="255"/>
          <w:numId w:val="0"/>
        </w:numPr>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Besides, another agreement regarding supported types for UE assisted performance monitoring is also made, such that,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after="0" w:line="280" w:lineRule="atLeast"/>
              <w:rPr>
                <w:rFonts w:eastAsia="等线"/>
                <w:highlight w:val="green"/>
                <w:lang w:eastAsia="zh-CN"/>
              </w:rPr>
            </w:pPr>
            <w:r>
              <w:rPr>
                <w:rFonts w:hint="eastAsia" w:eastAsia="等线"/>
                <w:highlight w:val="green"/>
                <w:lang w:eastAsia="zh-CN"/>
              </w:rPr>
              <w:t>Agreement</w:t>
            </w:r>
          </w:p>
          <w:p>
            <w:pPr>
              <w:spacing w:before="0" w:after="0" w:line="280" w:lineRule="atLeast"/>
            </w:pPr>
            <w:r>
              <w:rPr>
                <w:lang w:eastAsia="ko-KR"/>
              </w:rPr>
              <w:t xml:space="preserve">For CSI prediction using UE-side model, </w:t>
            </w:r>
            <w:r>
              <w:t xml:space="preserve">for UE assisted performance monitoring, </w:t>
            </w:r>
          </w:p>
          <w:p>
            <w:pPr>
              <w:pStyle w:val="65"/>
              <w:numPr>
                <w:ilvl w:val="0"/>
                <w:numId w:val="21"/>
              </w:numPr>
              <w:spacing w:before="0" w:after="0" w:line="280" w:lineRule="atLeast"/>
            </w:pPr>
            <w:r>
              <w:t>Support to reuse CSI framework for the configuration for monitoring result report in L1 signaling</w:t>
            </w:r>
          </w:p>
          <w:p>
            <w:pPr>
              <w:pStyle w:val="65"/>
              <w:numPr>
                <w:ilvl w:val="1"/>
                <w:numId w:val="21"/>
              </w:numPr>
              <w:tabs>
                <w:tab w:val="left" w:pos="720"/>
              </w:tabs>
              <w:spacing w:before="0" w:after="0" w:line="276" w:lineRule="auto"/>
              <w:rPr>
                <w:rFonts w:cs="Times"/>
                <w:kern w:val="2"/>
              </w:rPr>
            </w:pPr>
            <w:r>
              <w:rPr>
                <w:rFonts w:cs="Times"/>
                <w:kern w:val="2"/>
              </w:rPr>
              <w:t>Dedicated resource set for monitoring and report configuration for monitoring are configured in a dedicated CSI report configuration used for monitoring</w:t>
            </w:r>
          </w:p>
          <w:p>
            <w:pPr>
              <w:pStyle w:val="65"/>
              <w:numPr>
                <w:ilvl w:val="2"/>
                <w:numId w:val="21"/>
              </w:numPr>
              <w:spacing w:before="0" w:after="0" w:line="280" w:lineRule="atLeast"/>
              <w:rPr>
                <w:rFonts w:eastAsia="等线"/>
                <w:lang w:eastAsia="ko-KR"/>
              </w:rPr>
            </w:pPr>
            <w:r>
              <w:rPr>
                <w:rFonts w:eastAsia="等线"/>
                <w:lang w:eastAsia="ko-KR"/>
              </w:rPr>
              <w:t xml:space="preserve">The ID of an inference report configuration is configured in the configuration for monitoring to link the inference report configuration and monitoring report configuration </w:t>
            </w:r>
          </w:p>
          <w:p>
            <w:pPr>
              <w:pStyle w:val="65"/>
              <w:numPr>
                <w:ilvl w:val="2"/>
                <w:numId w:val="21"/>
              </w:numPr>
              <w:spacing w:before="0" w:after="0" w:line="280" w:lineRule="atLeast"/>
              <w:rPr>
                <w:rFonts w:eastAsia="等线"/>
                <w:lang w:eastAsia="ko-KR"/>
              </w:rPr>
            </w:pPr>
            <w:r>
              <w:rPr>
                <w:rFonts w:eastAsia="等线"/>
                <w:lang w:eastAsia="ko-KR"/>
              </w:rPr>
              <w:t>For monitoring report type, semi-persistent and aperiodic are supported</w:t>
            </w:r>
          </w:p>
          <w:p>
            <w:pPr>
              <w:pStyle w:val="65"/>
              <w:numPr>
                <w:ilvl w:val="2"/>
                <w:numId w:val="21"/>
              </w:numPr>
              <w:spacing w:before="0" w:after="0" w:line="280" w:lineRule="atLeast"/>
              <w:rPr>
                <w:rFonts w:eastAsia="等线"/>
                <w:lang w:eastAsia="ko-KR"/>
              </w:rPr>
            </w:pPr>
            <w:r>
              <w:rPr>
                <w:rFonts w:eastAsia="等线"/>
                <w:lang w:eastAsia="ko-KR"/>
              </w:rPr>
              <w:t>The following combination for inference report type and monitoring report type are supported</w:t>
            </w:r>
          </w:p>
          <w:tbl>
            <w:tblPr>
              <w:tblStyle w:val="50"/>
              <w:tblW w:w="5714" w:type="dxa"/>
              <w:jc w:val="center"/>
              <w:tblLayout w:type="autofit"/>
              <w:tblCellMar>
                <w:top w:w="0" w:type="dxa"/>
                <w:left w:w="108" w:type="dxa"/>
                <w:bottom w:w="0" w:type="dxa"/>
                <w:right w:w="108" w:type="dxa"/>
              </w:tblCellMar>
            </w:tblPr>
            <w:tblGrid>
              <w:gridCol w:w="3257"/>
              <w:gridCol w:w="1228"/>
              <w:gridCol w:w="1229"/>
            </w:tblGrid>
            <w:tr>
              <w:tblPrEx>
                <w:tblCellMar>
                  <w:top w:w="0" w:type="dxa"/>
                  <w:left w:w="108" w:type="dxa"/>
                  <w:bottom w:w="0" w:type="dxa"/>
                  <w:right w:w="108" w:type="dxa"/>
                </w:tblCellMar>
              </w:tblPrEx>
              <w:trPr>
                <w:jc w:val="center"/>
              </w:trPr>
              <w:tc>
                <w:tcPr>
                  <w:tcW w:w="3257" w:type="dxa"/>
                  <w:tcBorders>
                    <w:top w:val="single" w:color="000000" w:sz="4" w:space="0"/>
                    <w:left w:val="single" w:color="000000" w:sz="4" w:space="0"/>
                    <w:bottom w:val="single" w:color="000000" w:sz="4" w:space="0"/>
                    <w:right w:val="single" w:color="000000" w:sz="4" w:space="0"/>
                  </w:tcBorders>
                  <w:shd w:val="clear" w:color="auto" w:fill="D9D9D9"/>
                </w:tcPr>
                <w:p>
                  <w:pPr>
                    <w:spacing w:after="0"/>
                    <w:ind w:firstLine="1100"/>
                    <w:rPr>
                      <w:bCs/>
                      <w:lang w:val="en-US"/>
                    </w:rPr>
                  </w:pPr>
                  <w:r>
                    <w:rPr>
                      <w:bCs/>
                      <w:lang w:val="en-US"/>
                    </w:rPr>
                    <w:t>Monitoring report type</w:t>
                  </w:r>
                </w:p>
                <w:p>
                  <w:pPr>
                    <w:spacing w:after="0"/>
                    <w:rPr>
                      <w:bCs/>
                      <w:lang w:val="en-US"/>
                    </w:rPr>
                  </w:pPr>
                  <w:r>
                    <w:rPr>
                      <w:bCs/>
                      <w:lang w:val="en-US"/>
                    </w:rPr>
                    <w:t>Inference report type</w:t>
                  </w:r>
                </w:p>
              </w:tc>
              <w:tc>
                <w:tcPr>
                  <w:tcW w:w="1228" w:type="dxa"/>
                  <w:tcBorders>
                    <w:top w:val="single" w:color="000000" w:sz="4" w:space="0"/>
                    <w:left w:val="single" w:color="000000" w:sz="4" w:space="0"/>
                    <w:bottom w:val="single" w:color="000000" w:sz="4" w:space="0"/>
                    <w:right w:val="single" w:color="000000" w:sz="4" w:space="0"/>
                  </w:tcBorders>
                  <w:shd w:val="clear" w:color="auto" w:fill="D9D9D9"/>
                </w:tcPr>
                <w:p>
                  <w:pPr>
                    <w:spacing w:after="0"/>
                    <w:rPr>
                      <w:bCs/>
                    </w:rPr>
                  </w:pPr>
                  <w:r>
                    <w:rPr>
                      <w:bCs/>
                    </w:rPr>
                    <w:t>SP report</w:t>
                  </w:r>
                </w:p>
              </w:tc>
              <w:tc>
                <w:tcPr>
                  <w:tcW w:w="1229" w:type="dxa"/>
                  <w:tcBorders>
                    <w:top w:val="single" w:color="000000" w:sz="4" w:space="0"/>
                    <w:left w:val="single" w:color="000000" w:sz="4" w:space="0"/>
                    <w:bottom w:val="single" w:color="000000" w:sz="4" w:space="0"/>
                    <w:right w:val="single" w:color="000000" w:sz="4" w:space="0"/>
                  </w:tcBorders>
                  <w:shd w:val="clear" w:color="auto" w:fill="D9D9D9"/>
                </w:tcPr>
                <w:p>
                  <w:pPr>
                    <w:spacing w:after="0"/>
                    <w:rPr>
                      <w:bCs/>
                    </w:rPr>
                  </w:pPr>
                  <w:r>
                    <w:rPr>
                      <w:bCs/>
                    </w:rPr>
                    <w:t>AP report</w:t>
                  </w:r>
                </w:p>
              </w:tc>
            </w:tr>
            <w:tr>
              <w:tblPrEx>
                <w:tblCellMar>
                  <w:top w:w="0" w:type="dxa"/>
                  <w:left w:w="108" w:type="dxa"/>
                  <w:bottom w:w="0" w:type="dxa"/>
                  <w:right w:w="108" w:type="dxa"/>
                </w:tblCellMar>
              </w:tblPrEx>
              <w:trPr>
                <w:jc w:val="center"/>
              </w:trPr>
              <w:tc>
                <w:tcPr>
                  <w:tcW w:w="3257" w:type="dxa"/>
                  <w:tcBorders>
                    <w:top w:val="single" w:color="000000" w:sz="4" w:space="0"/>
                    <w:left w:val="single" w:color="000000" w:sz="4" w:space="0"/>
                    <w:bottom w:val="single" w:color="000000" w:sz="4" w:space="0"/>
                    <w:right w:val="single" w:color="000000" w:sz="4" w:space="0"/>
                  </w:tcBorders>
                  <w:shd w:val="clear" w:color="auto" w:fill="auto"/>
                </w:tcPr>
                <w:p>
                  <w:pPr>
                    <w:spacing w:after="0"/>
                    <w:rPr>
                      <w:bCs/>
                    </w:rPr>
                  </w:pPr>
                  <w:r>
                    <w:rPr>
                      <w:bCs/>
                    </w:rPr>
                    <w:t>AP report</w:t>
                  </w:r>
                </w:p>
              </w:tc>
              <w:tc>
                <w:tcPr>
                  <w:tcW w:w="1228" w:type="dxa"/>
                  <w:tcBorders>
                    <w:top w:val="single" w:color="000000" w:sz="4" w:space="0"/>
                    <w:left w:val="single" w:color="000000" w:sz="4" w:space="0"/>
                    <w:bottom w:val="single" w:color="000000" w:sz="4" w:space="0"/>
                    <w:right w:val="single" w:color="000000" w:sz="4" w:space="0"/>
                  </w:tcBorders>
                  <w:shd w:val="clear" w:color="auto" w:fill="auto"/>
                </w:tcPr>
                <w:p>
                  <w:pPr>
                    <w:spacing w:after="0"/>
                    <w:rPr>
                      <w:bCs/>
                    </w:rPr>
                  </w:pPr>
                  <w:r>
                    <w:rPr>
                      <w:bCs/>
                      <w:lang w:eastAsia="zh-CN"/>
                    </w:rPr>
                    <w:t>Not support</w:t>
                  </w:r>
                </w:p>
              </w:tc>
              <w:tc>
                <w:tcPr>
                  <w:tcW w:w="1229" w:type="dxa"/>
                  <w:tcBorders>
                    <w:top w:val="single" w:color="000000" w:sz="4" w:space="0"/>
                    <w:left w:val="single" w:color="000000" w:sz="4" w:space="0"/>
                    <w:bottom w:val="single" w:color="000000" w:sz="4" w:space="0"/>
                    <w:right w:val="single" w:color="000000" w:sz="4" w:space="0"/>
                  </w:tcBorders>
                  <w:shd w:val="clear" w:color="auto" w:fill="auto"/>
                </w:tcPr>
                <w:p>
                  <w:pPr>
                    <w:spacing w:after="0" w:line="276" w:lineRule="auto"/>
                    <w:rPr>
                      <w:bCs/>
                      <w:lang w:eastAsia="zh-CN"/>
                    </w:rPr>
                  </w:pPr>
                  <w:r>
                    <w:rPr>
                      <w:bCs/>
                      <w:lang w:eastAsia="zh-CN"/>
                    </w:rPr>
                    <w:t>Support</w:t>
                  </w:r>
                  <w:r>
                    <w:rPr>
                      <w:bCs/>
                      <w:lang w:eastAsia="zh-TW"/>
                    </w:rPr>
                    <w:t xml:space="preserve"> </w:t>
                  </w:r>
                </w:p>
              </w:tc>
            </w:tr>
            <w:tr>
              <w:tblPrEx>
                <w:tblCellMar>
                  <w:top w:w="0" w:type="dxa"/>
                  <w:left w:w="108" w:type="dxa"/>
                  <w:bottom w:w="0" w:type="dxa"/>
                  <w:right w:w="108" w:type="dxa"/>
                </w:tblCellMar>
              </w:tblPrEx>
              <w:trPr>
                <w:jc w:val="center"/>
              </w:trPr>
              <w:tc>
                <w:tcPr>
                  <w:tcW w:w="3257" w:type="dxa"/>
                  <w:tcBorders>
                    <w:top w:val="single" w:color="000000" w:sz="4" w:space="0"/>
                    <w:left w:val="single" w:color="000000" w:sz="4" w:space="0"/>
                    <w:bottom w:val="single" w:color="000000" w:sz="4" w:space="0"/>
                    <w:right w:val="single" w:color="000000" w:sz="4" w:space="0"/>
                  </w:tcBorders>
                  <w:shd w:val="clear" w:color="auto" w:fill="auto"/>
                </w:tcPr>
                <w:p>
                  <w:pPr>
                    <w:spacing w:after="0"/>
                    <w:rPr>
                      <w:bCs/>
                    </w:rPr>
                  </w:pPr>
                  <w:r>
                    <w:rPr>
                      <w:bCs/>
                    </w:rPr>
                    <w:t>SP report</w:t>
                  </w:r>
                </w:p>
              </w:tc>
              <w:tc>
                <w:tcPr>
                  <w:tcW w:w="1228" w:type="dxa"/>
                  <w:tcBorders>
                    <w:top w:val="single" w:color="000000" w:sz="4" w:space="0"/>
                    <w:left w:val="single" w:color="000000" w:sz="4" w:space="0"/>
                    <w:bottom w:val="single" w:color="000000" w:sz="4" w:space="0"/>
                    <w:right w:val="single" w:color="000000" w:sz="4" w:space="0"/>
                  </w:tcBorders>
                  <w:shd w:val="clear" w:color="auto" w:fill="auto"/>
                </w:tcPr>
                <w:p>
                  <w:pPr>
                    <w:spacing w:after="0"/>
                    <w:rPr>
                      <w:bCs/>
                    </w:rPr>
                  </w:pPr>
                  <w:r>
                    <w:rPr>
                      <w:bCs/>
                      <w:lang w:eastAsia="zh-CN"/>
                    </w:rPr>
                    <w:t>Support</w:t>
                  </w:r>
                </w:p>
              </w:tc>
              <w:tc>
                <w:tcPr>
                  <w:tcW w:w="1229" w:type="dxa"/>
                  <w:tcBorders>
                    <w:top w:val="single" w:color="000000" w:sz="4" w:space="0"/>
                    <w:left w:val="single" w:color="000000" w:sz="4" w:space="0"/>
                    <w:bottom w:val="single" w:color="000000" w:sz="4" w:space="0"/>
                    <w:right w:val="single" w:color="000000" w:sz="4" w:space="0"/>
                  </w:tcBorders>
                  <w:shd w:val="clear" w:color="auto" w:fill="auto"/>
                </w:tcPr>
                <w:p>
                  <w:pPr>
                    <w:spacing w:after="0" w:line="276" w:lineRule="auto"/>
                    <w:rPr>
                      <w:bCs/>
                      <w:lang w:eastAsia="zh-CN"/>
                    </w:rPr>
                  </w:pPr>
                  <w:r>
                    <w:rPr>
                      <w:bCs/>
                      <w:lang w:eastAsia="zh-CN"/>
                    </w:rPr>
                    <w:t>Support</w:t>
                  </w:r>
                </w:p>
              </w:tc>
            </w:tr>
          </w:tbl>
          <w:p>
            <w:pPr>
              <w:pStyle w:val="65"/>
              <w:numPr>
                <w:ilvl w:val="1"/>
                <w:numId w:val="21"/>
              </w:numPr>
              <w:spacing w:before="0" w:after="0" w:line="280" w:lineRule="atLeast"/>
              <w:rPr>
                <w:lang w:eastAsia="ko-KR"/>
              </w:rPr>
            </w:pPr>
            <w:r>
              <w:rPr>
                <w:lang w:eastAsia="ko-KR"/>
              </w:rPr>
              <w:t>For monitoring resource type for measurement, periodic, semi-persistent and aperiodic are supported.</w:t>
            </w:r>
          </w:p>
          <w:p>
            <w:pPr>
              <w:numPr>
                <w:ilvl w:val="255"/>
                <w:numId w:val="0"/>
              </w:numPr>
              <w:spacing w:before="120" w:line="280" w:lineRule="atLeast"/>
              <w:rPr>
                <w:rFonts w:hAnsi="Cambria Math" w:cs="Arial"/>
                <w:color w:val="000000" w:themeColor="text1"/>
                <w:lang w:val="en-US" w:eastAsia="zh-CN"/>
                <w14:textFill>
                  <w14:solidFill>
                    <w14:schemeClr w14:val="tx1"/>
                  </w14:solidFill>
                </w14:textFill>
              </w:rPr>
            </w:pPr>
          </w:p>
        </w:tc>
      </w:tr>
    </w:tbl>
    <w:p>
      <w:pPr>
        <w:numPr>
          <w:ilvl w:val="255"/>
          <w:numId w:val="0"/>
        </w:numPr>
        <w:rPr>
          <w:rFonts w:hAnsi="Cambria Math" w:cs="Arial"/>
          <w:color w:val="000000" w:themeColor="text1"/>
          <w:lang w:val="en-US" w:eastAsia="zh-CN"/>
          <w14:textFill>
            <w14:solidFill>
              <w14:schemeClr w14:val="tx1"/>
            </w14:solidFill>
          </w14:textFill>
        </w:rPr>
      </w:pPr>
    </w:p>
    <w:p>
      <w:pPr>
        <w:numPr>
          <w:ilvl w:val="255"/>
          <w:numId w:val="0"/>
        </w:numPr>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It is worth noting that, the two agreements above do not capture the signaling for triggering monitoring report associated with a semi-persistent inference report, which can be further decomposed into the following cases:</w:t>
      </w:r>
    </w:p>
    <w:p>
      <w:pPr>
        <w:numPr>
          <w:ilvl w:val="0"/>
          <w:numId w:val="24"/>
        </w:numPr>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Case 1: AP monitoring report associated with a SP inference report with SP/P inference measurement resources;</w:t>
      </w:r>
    </w:p>
    <w:p>
      <w:pPr>
        <w:numPr>
          <w:ilvl w:val="0"/>
          <w:numId w:val="24"/>
        </w:numPr>
        <w:rPr>
          <w:rFonts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Case 2: SP monitoring report associated with a SP inference report with SP/P inference measurement resources;</w:t>
      </w:r>
    </w:p>
    <w:p>
      <w:pPr>
        <w:rPr>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Observation 2:</w:t>
      </w:r>
      <w:r>
        <w:rPr>
          <w:rFonts w:hint="eastAsia"/>
          <w:color w:val="000000" w:themeColor="text1"/>
          <w:lang w:val="en-US" w:eastAsia="zh-CN"/>
          <w14:textFill>
            <w14:solidFill>
              <w14:schemeClr w14:val="tx1"/>
            </w14:solidFill>
          </w14:textFill>
        </w:rPr>
        <w:t xml:space="preserve"> </w:t>
      </w:r>
      <w:r>
        <w:rPr>
          <w:rFonts w:hint="eastAsia" w:hAnsi="Cambria Math" w:cs="Arial"/>
          <w:color w:val="000000" w:themeColor="text1"/>
          <w:lang w:val="en-US" w:eastAsia="zh-CN"/>
          <w14:textFill>
            <w14:solidFill>
              <w14:schemeClr w14:val="tx1"/>
            </w14:solidFill>
          </w14:textFill>
        </w:rPr>
        <w:t>The only procedure captured in latest specification is for monitoring report associated with an AP inference report. But monitoring report associated with SP inference report is supported in agreement.</w:t>
      </w:r>
    </w:p>
    <w:p>
      <w:pPr>
        <w:numPr>
          <w:ilvl w:val="255"/>
          <w:numId w:val="0"/>
        </w:numPr>
        <w:rPr>
          <w:rFonts w:hAnsi="Cambria Math" w:cs="Arial"/>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 xml:space="preserve">Summary of change: </w:t>
      </w:r>
      <w:r>
        <w:rPr>
          <w:rFonts w:hint="eastAsia" w:hAnsi="Cambria Math" w:cs="Arial"/>
          <w:color w:val="000000" w:themeColor="text1"/>
          <w:lang w:val="en-US" w:eastAsia="zh-CN"/>
          <w14:textFill>
            <w14:solidFill>
              <w14:schemeClr w14:val="tx1"/>
            </w14:solidFill>
          </w14:textFill>
        </w:rPr>
        <w:t>Specification support</w:t>
      </w:r>
      <w:r>
        <w:rPr>
          <w:rFonts w:hAnsi="Cambria Math" w:cs="Arial"/>
          <w:color w:val="000000" w:themeColor="text1"/>
          <w:lang w:val="en-US" w:eastAsia="zh-CN"/>
          <w14:textFill>
            <w14:solidFill>
              <w14:schemeClr w14:val="tx1"/>
            </w14:solidFill>
          </w14:textFill>
        </w:rPr>
        <w:t>s</w:t>
      </w:r>
      <w:r>
        <w:rPr>
          <w:rFonts w:hint="eastAsia" w:hAnsi="Cambria Math" w:cs="Arial"/>
          <w:color w:val="000000" w:themeColor="text1"/>
          <w:lang w:val="en-US" w:eastAsia="zh-CN"/>
          <w14:textFill>
            <w14:solidFill>
              <w14:schemeClr w14:val="tx1"/>
            </w14:solidFill>
          </w14:textFill>
        </w:rPr>
        <w:t xml:space="preserve"> concrete signaling for SP monitoring report.</w:t>
      </w:r>
    </w:p>
    <w:p>
      <w:pPr>
        <w:numPr>
          <w:ilvl w:val="255"/>
          <w:numId w:val="0"/>
        </w:numPr>
        <w:rPr>
          <w:rFonts w:hAnsi="Cambria Math" w:cs="Arial"/>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 xml:space="preserve">Consequences if not approved: </w:t>
      </w:r>
      <w:r>
        <w:rPr>
          <w:rFonts w:hint="eastAsia" w:hAnsi="Cambria Math" w:cs="Arial"/>
          <w:color w:val="000000" w:themeColor="text1"/>
          <w:lang w:val="en-US" w:eastAsia="zh-CN"/>
          <w14:textFill>
            <w14:solidFill>
              <w14:schemeClr w14:val="tx1"/>
            </w14:solidFill>
          </w14:textFill>
        </w:rPr>
        <w:t>The gNB does not how to trigger a SP monitoring report. And the UE does not know how to act to the potential signaling indicating a SP monitoring report.</w:t>
      </w:r>
    </w:p>
    <w:p>
      <w:pPr>
        <w:numPr>
          <w:ilvl w:val="255"/>
          <w:numId w:val="0"/>
        </w:numPr>
        <w:rPr>
          <w:rFonts w:hAnsi="Cambria Math" w:cs="Arial"/>
          <w:i/>
          <w:iCs/>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Proposal 2:</w:t>
      </w:r>
      <w:r>
        <w:rPr>
          <w:rFonts w:hint="eastAsia" w:hAnsi="Cambria Math" w:cs="Arial"/>
          <w:b/>
          <w:bCs/>
          <w:i/>
          <w:iCs/>
          <w:color w:val="000000" w:themeColor="text1"/>
          <w:lang w:val="en-US" w:eastAsia="zh-CN"/>
          <w14:textFill>
            <w14:solidFill>
              <w14:schemeClr w14:val="tx1"/>
            </w14:solidFill>
          </w14:textFill>
        </w:rPr>
        <w:t xml:space="preserve"> </w:t>
      </w:r>
      <w:r>
        <w:rPr>
          <w:rFonts w:hAnsi="Cambria Math" w:cs="Arial"/>
          <w:color w:val="000000" w:themeColor="text1"/>
          <w:lang w:val="en-US" w:eastAsia="zh-CN"/>
          <w14:textFill>
            <w14:solidFill>
              <w14:schemeClr w14:val="tx1"/>
            </w14:solidFill>
          </w14:textFill>
        </w:rPr>
        <w:t>Further</w:t>
      </w:r>
      <w:r>
        <w:rPr>
          <w:rFonts w:hint="eastAsia" w:hAnsi="Cambria Math" w:cs="Arial"/>
          <w:color w:val="000000" w:themeColor="text1"/>
          <w:lang w:val="en-US" w:eastAsia="zh-CN"/>
          <w14:textFill>
            <w14:solidFill>
              <w14:schemeClr w14:val="tx1"/>
            </w14:solidFill>
          </w14:textFill>
        </w:rPr>
        <w:t xml:space="preserve"> study and discuss the specification support for monitoring report associated with SP inference report.</w:t>
      </w:r>
    </w:p>
    <w:bookmarkEnd w:id="3"/>
    <w:p>
      <w:pPr>
        <w:pStyle w:val="2"/>
      </w:pPr>
      <w:r>
        <w:rPr>
          <w:rFonts w:hint="eastAsia"/>
        </w:rPr>
        <w:t>C</w:t>
      </w:r>
      <w:r>
        <w:t>onclusion</w:t>
      </w:r>
    </w:p>
    <w:p>
      <w:pPr>
        <w:rPr>
          <w:lang w:eastAsia="zh-CN"/>
        </w:rPr>
      </w:pPr>
      <w:r>
        <w:rPr>
          <w:rFonts w:hint="eastAsia"/>
          <w:lang w:eastAsia="zh-CN"/>
        </w:rPr>
        <w:t>O</w:t>
      </w:r>
      <w:r>
        <w:rPr>
          <w:lang w:eastAsia="zh-CN"/>
        </w:rPr>
        <w:t>verall, we have the following proposals for AI CSI prediction</w:t>
      </w:r>
      <w:r>
        <w:rPr>
          <w:rFonts w:hint="eastAsia"/>
          <w:lang w:val="en-US" w:eastAsia="zh-CN"/>
        </w:rPr>
        <w:t xml:space="preserve"> maintenance</w:t>
      </w:r>
      <w:r>
        <w:rPr>
          <w:lang w:eastAsia="zh-CN"/>
        </w:rPr>
        <w:t>.</w:t>
      </w:r>
    </w:p>
    <w:p>
      <w:pPr>
        <w:jc w:val="left"/>
        <w:rPr>
          <w:b/>
          <w:bCs/>
          <w:lang w:val="en-US" w:eastAsia="zh-CN"/>
        </w:rPr>
      </w:pPr>
      <w:r>
        <w:rPr>
          <w:rFonts w:hint="eastAsia"/>
          <w:b/>
          <w:bCs/>
          <w:lang w:val="en-US" w:eastAsia="zh-CN"/>
        </w:rPr>
        <w:t xml:space="preserve">For </w:t>
      </w:r>
      <w:r>
        <w:fldChar w:fldCharType="begin"/>
      </w:r>
      <w:r>
        <w:instrText xml:space="preserve"> HYPERLINK "https://en.wikipedia.org/wiki/Disambiguation_(disambiguation)" </w:instrText>
      </w:r>
      <w:r>
        <w:fldChar w:fldCharType="separate"/>
      </w:r>
      <w:r>
        <w:rPr>
          <w:rFonts w:hint="eastAsia"/>
          <w:b/>
          <w:bCs/>
          <w:lang w:val="en-US" w:eastAsia="zh-CN"/>
        </w:rPr>
        <w:t>disambiguation</w:t>
      </w:r>
      <w:r>
        <w:rPr>
          <w:rFonts w:hint="eastAsia"/>
          <w:b/>
          <w:bCs/>
          <w:lang w:val="en-US" w:eastAsia="zh-CN"/>
        </w:rPr>
        <w:fldChar w:fldCharType="end"/>
      </w:r>
      <w:r>
        <w:rPr>
          <w:rFonts w:hint="eastAsia"/>
          <w:b/>
          <w:bCs/>
          <w:lang w:val="en-US" w:eastAsia="zh-CN" w:bidi="ar"/>
        </w:rPr>
        <w:t xml:space="preserve"> </w:t>
      </w:r>
      <w:r>
        <w:rPr>
          <w:rFonts w:hint="eastAsia"/>
          <w:b/>
          <w:bCs/>
          <w:lang w:val="en-US" w:eastAsia="zh-CN"/>
        </w:rPr>
        <w:t>for AI CSI prediction, for monitoring report with wideband SGCS:</w:t>
      </w:r>
    </w:p>
    <w:p>
      <w:pPr>
        <w:numPr>
          <w:ilvl w:val="255"/>
          <w:numId w:val="0"/>
        </w:numPr>
        <w:rPr>
          <w:rFonts w:hAnsi="Cambria Math" w:cs="Arial"/>
          <w:i/>
          <w:iCs/>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Observation 1:</w:t>
      </w:r>
      <w:r>
        <w:rPr>
          <w:rFonts w:hint="eastAsia" w:hAnsi="Cambria Math" w:cs="Arial"/>
          <w:i/>
          <w:iCs/>
          <w:color w:val="000000" w:themeColor="text1"/>
          <w:lang w:val="en-US" w:eastAsia="zh-CN"/>
          <w14:textFill>
            <w14:solidFill>
              <w14:schemeClr w14:val="tx1"/>
            </w14:solidFill>
          </w14:textFill>
        </w:rPr>
        <w:t xml:space="preserve"> </w:t>
      </w:r>
      <w:r>
        <w:rPr>
          <w:rFonts w:hint="eastAsia" w:hAnsi="Cambria Math" w:cs="Arial"/>
          <w:color w:val="000000" w:themeColor="text1"/>
          <w:lang w:val="en-US" w:eastAsia="zh-CN"/>
          <w14:textFill>
            <w14:solidFill>
              <w14:schemeClr w14:val="tx1"/>
            </w14:solidFill>
          </w14:textFill>
        </w:rPr>
        <w:t>Current definition of wideband SGCS report causes ambiguity without clarifying the definition of a wideband SGCS.</w:t>
      </w:r>
    </w:p>
    <w:p>
      <w:pPr>
        <w:numPr>
          <w:ilvl w:val="255"/>
          <w:numId w:val="0"/>
        </w:numPr>
        <w:rPr>
          <w:rFonts w:hAnsi="Cambria Math" w:cs="Arial"/>
          <w:i/>
          <w:iCs/>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Proposal 1:</w:t>
      </w:r>
      <w:r>
        <w:rPr>
          <w:rFonts w:hint="eastAsia" w:hAnsi="Cambria Math" w:cs="Arial"/>
          <w:b/>
          <w:bCs/>
          <w:i/>
          <w:iCs/>
          <w:color w:val="000000" w:themeColor="text1"/>
          <w:lang w:val="en-US" w:eastAsia="zh-CN"/>
          <w14:textFill>
            <w14:solidFill>
              <w14:schemeClr w14:val="tx1"/>
            </w14:solidFill>
          </w14:textFill>
        </w:rPr>
        <w:t xml:space="preserve"> </w:t>
      </w:r>
      <w:r>
        <w:rPr>
          <w:rFonts w:hint="eastAsia" w:hAnsi="Cambria Math" w:cs="Arial"/>
          <w:color w:val="000000" w:themeColor="text1"/>
          <w:lang w:val="en-US" w:eastAsia="zh-CN"/>
          <w14:textFill>
            <w14:solidFill>
              <w14:schemeClr w14:val="tx1"/>
            </w14:solidFill>
          </w14:textFill>
        </w:rPr>
        <w:t>For monitoring report, support option 1 for wideband SGCS definition and wideband SGCS report.</w:t>
      </w:r>
    </w:p>
    <w:p>
      <w:pPr>
        <w:numPr>
          <w:ilvl w:val="255"/>
          <w:numId w:val="0"/>
        </w:numPr>
        <w:rPr>
          <w:rFonts w:hAnsi="Cambria Math" w:cs="Arial"/>
          <w:b/>
          <w:bCs/>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Text Proposal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spacing w:before="120" w:line="280" w:lineRule="atLeast"/>
              <w:rPr>
                <w:rFonts w:hAnsi="Cambria Math" w:cs="Arial"/>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TS 38.214, Section 5.2.1.4.6 CSI-PAI reporting</w:t>
            </w:r>
          </w:p>
          <w:p>
            <w:pPr>
              <w:numPr>
                <w:ilvl w:val="255"/>
                <w:numId w:val="0"/>
              </w:numPr>
              <w:spacing w:before="120" w:line="280" w:lineRule="atLeast"/>
              <w:jc w:val="center"/>
              <w:rPr>
                <w:rFonts w:hAnsi="Cambria Math" w:cs="Arial"/>
                <w:color w:val="FF0000"/>
                <w:lang w:val="en-US" w:eastAsia="zh-CN"/>
              </w:rPr>
            </w:pPr>
            <w:r>
              <w:rPr>
                <w:rFonts w:hint="eastAsia" w:ascii="Arial" w:hAnsi="Arial" w:cs="Arial"/>
                <w:color w:val="FF0000"/>
                <w:sz w:val="24"/>
                <w:szCs w:val="24"/>
                <w:lang w:val="en-US" w:eastAsia="zh-CN"/>
              </w:rPr>
              <w:t>***</w:t>
            </w:r>
            <w:r>
              <w:rPr>
                <w:rFonts w:ascii="Arial" w:hAnsi="Arial" w:cs="Arial"/>
                <w:color w:val="FF0000"/>
                <w:sz w:val="24"/>
                <w:szCs w:val="24"/>
              </w:rPr>
              <w:t xml:space="preserve"> Unchanged parts are omitted </w:t>
            </w:r>
            <w:r>
              <w:rPr>
                <w:rFonts w:hint="eastAsia" w:ascii="Arial" w:hAnsi="Arial" w:cs="Arial"/>
                <w:color w:val="FF0000"/>
                <w:sz w:val="24"/>
                <w:szCs w:val="24"/>
                <w:lang w:val="en-US" w:eastAsia="zh-CN"/>
              </w:rPr>
              <w:t>***</w:t>
            </w:r>
          </w:p>
          <w:p>
            <w:pPr>
              <w:pStyle w:val="123"/>
              <w:spacing w:before="120" w:line="280" w:lineRule="atLeast"/>
              <w:rPr>
                <w:lang w:val="en-GB"/>
              </w:rPr>
            </w:pPr>
            <w:r>
              <w:rPr>
                <w:rFonts w:eastAsia="微软雅黑"/>
              </w:rPr>
              <w:t>-</w:t>
            </w:r>
            <w:r>
              <w:rPr>
                <w:rFonts w:eastAsia="微软雅黑"/>
              </w:rPr>
              <w:tab/>
            </w:r>
            <w:r>
              <w:rPr>
                <w:rFonts w:eastAsia="微软雅黑"/>
              </w:rPr>
              <w:t>f</w:t>
            </w:r>
            <w:r>
              <w:rPr>
                <w:lang w:val="en-GB"/>
              </w:rPr>
              <w:t xml:space="preserve">or </w:t>
            </w:r>
            <m:oMath>
              <m:r>
                <m:rPr/>
                <w:rPr>
                  <w:rFonts w:ascii="Cambria Math" w:hAnsi="Cambria Math"/>
                  <w:lang w:val="en-GB"/>
                </w:rPr>
                <m:t xml:space="preserve">k </m:t>
              </m:r>
              <m:r>
                <m:rPr/>
                <w:rPr>
                  <w:rFonts w:ascii="Cambria Math" w:hAnsi="Cambria Math"/>
                  <w:color w:val="000000"/>
                  <w:lang w:eastAsia="zh-CN"/>
                </w:rPr>
                <m:t>∈</m:t>
              </m:r>
              <m:d>
                <m:dPr>
                  <m:begChr m:val="{"/>
                  <m:endChr m:val="}"/>
                  <m:ctrlPr>
                    <w:rPr>
                      <w:rFonts w:ascii="Cambria Math" w:hAnsi="Cambria Math"/>
                      <w:i/>
                      <w:color w:val="000000"/>
                      <w:lang w:eastAsia="zh-CN"/>
                    </w:rPr>
                  </m:ctrlPr>
                </m:dPr>
                <m:e>
                  <m:r>
                    <m:rPr/>
                    <w:rPr>
                      <w:rFonts w:ascii="Cambria Math" w:hAnsi="Cambria Math"/>
                      <w:color w:val="000000"/>
                      <w:lang w:eastAsia="zh-CN"/>
                    </w:rPr>
                    <m:t>1,2,…,v</m:t>
                  </m:r>
                  <m:ctrlPr>
                    <w:rPr>
                      <w:rFonts w:ascii="Cambria Math" w:hAnsi="Cambria Math"/>
                      <w:i/>
                      <w:color w:val="000000"/>
                      <w:lang w:eastAsia="zh-CN"/>
                    </w:rPr>
                  </m:ctrlPr>
                </m:e>
              </m:d>
            </m:oMath>
            <w:r>
              <w:rPr>
                <w:lang w:val="en-GB"/>
              </w:rPr>
              <w:t xml:space="preserve">, </w:t>
            </w:r>
            <m:oMath>
              <m:r>
                <m:rPr/>
                <w:rPr>
                  <w:rFonts w:ascii="Cambria Math" w:hAnsi="Cambria Math"/>
                  <w:color w:val="000000"/>
                  <w:lang w:eastAsia="zh-CN"/>
                </w:rPr>
                <m:t>v</m:t>
              </m:r>
            </m:oMath>
            <w:r>
              <w:rPr>
                <w:color w:val="000000"/>
                <w:lang w:eastAsia="zh-CN"/>
              </w:rPr>
              <w:t xml:space="preserve"> is the RI reported for the CSI report corresponding to the first Reporting Setting</w:t>
            </w:r>
            <w:r>
              <w:rPr>
                <w:lang w:val="en-GB"/>
              </w:rPr>
              <w:t>, calculate</w:t>
            </w:r>
            <w:r>
              <w:rPr>
                <w:rFonts w:hint="eastAsia"/>
                <w:color w:val="FF0000"/>
                <w:lang w:eastAsia="zh-CN"/>
              </w:rPr>
              <w:t xml:space="preserve"> </w:t>
            </w:r>
            <w:r>
              <w:rPr>
                <w:lang w:val="en-GB"/>
              </w:rPr>
              <w:t xml:space="preserve">SGCS value(s) as, </w:t>
            </w:r>
          </w:p>
          <w:p>
            <w:pPr>
              <w:pStyle w:val="122"/>
              <w:spacing w:before="120" w:line="280" w:lineRule="atLeast"/>
              <w:ind w:left="851"/>
              <w:jc w:val="center"/>
              <w:rPr>
                <w:rFonts w:hAnsi="Cambria Math"/>
                <w:color w:val="FF0000"/>
                <w:lang w:eastAsia="zh-CN"/>
              </w:rPr>
            </w:pP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lang w:eastAsia="zh-CN"/>
                    </w:rPr>
                    <m:t>k</m:t>
                  </m:r>
                  <m:ctrlPr>
                    <w:rPr>
                      <w:rFonts w:ascii="Cambria Math" w:hAnsi="Cambria Math"/>
                      <w:i/>
                      <w:color w:val="FF0000"/>
                    </w:rPr>
                  </m:ctrlPr>
                </m:sub>
                <m:sup>
                  <m:r>
                    <m:rPr/>
                    <w:rPr>
                      <w:rFonts w:ascii="Cambria Math" w:hAnsi="Cambria Math"/>
                      <w:color w:val="FF0000"/>
                    </w:rPr>
                    <m:t>1</m:t>
                  </m:r>
                  <m:ctrlPr>
                    <w:rPr>
                      <w:rFonts w:ascii="Cambria Math" w:hAnsi="Cambria Math"/>
                      <w:i/>
                      <w:color w:val="FF0000"/>
                    </w:rPr>
                  </m:ctrlPr>
                </m:sup>
              </m:sSubSup>
              <m:r>
                <m:rPr/>
                <w:rPr>
                  <w:rFonts w:ascii="Cambria Math" w:hAnsi="Cambria Math"/>
                  <w:color w:val="FF0000"/>
                  <w:lang w:eastAsia="zh-CN"/>
                </w:rPr>
                <m:t>=</m:t>
              </m:r>
              <m:f>
                <m:fPr>
                  <m:ctrlPr>
                    <w:rPr>
                      <w:rFonts w:ascii="Cambria Math" w:hAnsi="Cambria Math"/>
                      <w:i/>
                      <w:color w:val="FF0000"/>
                      <w:lang w:eastAsia="zh-CN"/>
                    </w:rPr>
                  </m:ctrlPr>
                </m:fPr>
                <m:num>
                  <m:r>
                    <m:rPr/>
                    <w:rPr>
                      <w:rFonts w:ascii="Cambria Math" w:hAnsi="Cambria Math"/>
                      <w:color w:val="FF0000"/>
                      <w:lang w:eastAsia="zh-CN"/>
                    </w:rPr>
                    <m:t>1</m:t>
                  </m:r>
                  <m:ctrlPr>
                    <w:rPr>
                      <w:rFonts w:ascii="Cambria Math" w:hAnsi="Cambria Math"/>
                      <w:i/>
                      <w:color w:val="FF0000"/>
                      <w:lang w:eastAsia="zh-CN"/>
                    </w:rPr>
                  </m:ctrlPr>
                </m:num>
                <m:den>
                  <m:r>
                    <m:rPr/>
                    <w:rPr>
                      <w:rFonts w:ascii="Cambria Math" w:hAnsi="Cambria Math"/>
                      <w:color w:val="FF0000"/>
                      <w:lang w:eastAsia="zh-CN"/>
                    </w:rPr>
                    <m:t>N</m:t>
                  </m:r>
                  <m:ctrlPr>
                    <w:rPr>
                      <w:rFonts w:ascii="Cambria Math" w:hAnsi="Cambria Math"/>
                      <w:i/>
                      <w:color w:val="FF0000"/>
                      <w:lang w:eastAsia="zh-CN"/>
                    </w:rPr>
                  </m:ctrlPr>
                </m:den>
              </m:f>
              <m:nary>
                <m:naryPr>
                  <m:chr m:val="∑"/>
                  <m:limLoc m:val="undOvr"/>
                  <m:ctrlPr>
                    <w:rPr>
                      <w:rFonts w:ascii="Cambria Math" w:hAnsi="Cambria Math"/>
                      <w:i/>
                      <w:color w:val="FF0000"/>
                      <w:lang w:eastAsia="zh-CN"/>
                    </w:rPr>
                  </m:ctrlPr>
                </m:naryPr>
                <m:sub>
                  <m:r>
                    <m:rPr/>
                    <w:rPr>
                      <w:rFonts w:ascii="Cambria Math" w:hAnsi="Cambria Math"/>
                      <w:color w:val="FF0000"/>
                      <w:lang w:eastAsia="zh-CN"/>
                    </w:rPr>
                    <m:t>n=0</m:t>
                  </m:r>
                  <m:ctrlPr>
                    <w:rPr>
                      <w:rFonts w:ascii="Cambria Math" w:hAnsi="Cambria Math"/>
                      <w:i/>
                      <w:color w:val="FF0000"/>
                      <w:lang w:eastAsia="zh-CN"/>
                    </w:rPr>
                  </m:ctrlPr>
                </m:sub>
                <m:sup>
                  <m:r>
                    <m:rPr/>
                    <w:rPr>
                      <w:rFonts w:ascii="Cambria Math" w:hAnsi="Cambria Math"/>
                      <w:color w:val="FF0000"/>
                      <w:lang w:eastAsia="zh-CN"/>
                    </w:rPr>
                    <m:t>N−1</m:t>
                  </m:r>
                  <m:ctrlPr>
                    <w:rPr>
                      <w:rFonts w:ascii="Cambria Math" w:hAnsi="Cambria Math"/>
                      <w:i/>
                      <w:color w:val="FF0000"/>
                      <w:lang w:eastAsia="zh-CN"/>
                    </w:rPr>
                  </m:ctrlPr>
                </m:sup>
                <m:e>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1</m:t>
                      </m:r>
                      <m:ctrlPr>
                        <w:rPr>
                          <w:rFonts w:ascii="Cambria Math" w:hAnsi="Cambria Math"/>
                          <w:i/>
                          <w:color w:val="FF0000"/>
                        </w:rPr>
                      </m:ctrlPr>
                    </m:sup>
                  </m:sSubSup>
                  <m:ctrlPr>
                    <w:rPr>
                      <w:rFonts w:ascii="Cambria Math" w:hAnsi="Cambria Math"/>
                      <w:i/>
                      <w:color w:val="FF0000"/>
                      <w:lang w:eastAsia="zh-CN"/>
                    </w:rPr>
                  </m:ctrlPr>
                </m:e>
              </m:nary>
            </m:oMath>
            <w:r>
              <w:rPr>
                <w:rFonts w:hint="eastAsia" w:hAnsi="Cambria Math"/>
                <w:color w:val="FF0000"/>
                <w:lang w:eastAsia="zh-CN"/>
              </w:rPr>
              <w:t>,</w:t>
            </w:r>
          </w:p>
          <w:p>
            <w:pPr>
              <w:pStyle w:val="122"/>
              <w:spacing w:before="120" w:line="280" w:lineRule="atLeast"/>
              <w:ind w:left="851"/>
              <w:jc w:val="center"/>
              <w:rPr>
                <w:rFonts w:hAnsi="Cambria Math"/>
                <w:color w:val="FF0000"/>
                <w:lang w:eastAsia="zh-CN"/>
              </w:rPr>
            </w:pP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lang w:eastAsia="zh-CN"/>
                    </w:rPr>
                    <m:t>k</m:t>
                  </m:r>
                  <m:ctrlPr>
                    <w:rPr>
                      <w:rFonts w:ascii="Cambria Math" w:hAnsi="Cambria Math"/>
                      <w:i/>
                      <w:color w:val="FF0000"/>
                    </w:rPr>
                  </m:ctrlPr>
                </m:sub>
                <m:sup>
                  <m:r>
                    <m:rPr/>
                    <w:rPr>
                      <w:rFonts w:ascii="Cambria Math" w:hAnsi="Cambria Math"/>
                      <w:color w:val="FF0000"/>
                      <w:lang w:eastAsia="zh-CN"/>
                    </w:rPr>
                    <m:t>2</m:t>
                  </m:r>
                  <m:ctrlPr>
                    <w:rPr>
                      <w:rFonts w:ascii="Cambria Math" w:hAnsi="Cambria Math"/>
                      <w:i/>
                      <w:color w:val="FF0000"/>
                    </w:rPr>
                  </m:ctrlPr>
                </m:sup>
              </m:sSubSup>
              <m:r>
                <m:rPr/>
                <w:rPr>
                  <w:rFonts w:ascii="Cambria Math" w:hAnsi="Cambria Math"/>
                  <w:color w:val="FF0000"/>
                  <w:lang w:eastAsia="zh-CN"/>
                </w:rPr>
                <m:t>=</m:t>
              </m:r>
              <m:f>
                <m:fPr>
                  <m:ctrlPr>
                    <w:rPr>
                      <w:rFonts w:ascii="Cambria Math" w:hAnsi="Cambria Math"/>
                      <w:i/>
                      <w:color w:val="FF0000"/>
                      <w:lang w:eastAsia="zh-CN"/>
                    </w:rPr>
                  </m:ctrlPr>
                </m:fPr>
                <m:num>
                  <m:r>
                    <m:rPr/>
                    <w:rPr>
                      <w:rFonts w:ascii="Cambria Math" w:hAnsi="Cambria Math"/>
                      <w:color w:val="FF0000"/>
                      <w:lang w:eastAsia="zh-CN"/>
                    </w:rPr>
                    <m:t>1</m:t>
                  </m:r>
                  <m:ctrlPr>
                    <w:rPr>
                      <w:rFonts w:ascii="Cambria Math" w:hAnsi="Cambria Math"/>
                      <w:i/>
                      <w:color w:val="FF0000"/>
                      <w:lang w:eastAsia="zh-CN"/>
                    </w:rPr>
                  </m:ctrlPr>
                </m:num>
                <m:den>
                  <m:r>
                    <m:rPr/>
                    <w:rPr>
                      <w:rFonts w:ascii="Cambria Math" w:hAnsi="Cambria Math"/>
                      <w:color w:val="FF0000"/>
                      <w:lang w:eastAsia="zh-CN"/>
                    </w:rPr>
                    <m:t>N</m:t>
                  </m:r>
                  <m:ctrlPr>
                    <w:rPr>
                      <w:rFonts w:ascii="Cambria Math" w:hAnsi="Cambria Math"/>
                      <w:i/>
                      <w:color w:val="FF0000"/>
                      <w:lang w:eastAsia="zh-CN"/>
                    </w:rPr>
                  </m:ctrlPr>
                </m:den>
              </m:f>
              <m:nary>
                <m:naryPr>
                  <m:chr m:val="∑"/>
                  <m:limLoc m:val="undOvr"/>
                  <m:ctrlPr>
                    <w:rPr>
                      <w:rFonts w:ascii="Cambria Math" w:hAnsi="Cambria Math"/>
                      <w:i/>
                      <w:color w:val="FF0000"/>
                      <w:lang w:eastAsia="zh-CN"/>
                    </w:rPr>
                  </m:ctrlPr>
                </m:naryPr>
                <m:sub>
                  <m:r>
                    <m:rPr/>
                    <w:rPr>
                      <w:rFonts w:ascii="Cambria Math" w:hAnsi="Cambria Math"/>
                      <w:color w:val="FF0000"/>
                      <w:lang w:eastAsia="zh-CN"/>
                    </w:rPr>
                    <m:t>n=0</m:t>
                  </m:r>
                  <m:ctrlPr>
                    <w:rPr>
                      <w:rFonts w:ascii="Cambria Math" w:hAnsi="Cambria Math"/>
                      <w:i/>
                      <w:color w:val="FF0000"/>
                      <w:lang w:eastAsia="zh-CN"/>
                    </w:rPr>
                  </m:ctrlPr>
                </m:sub>
                <m:sup>
                  <m:r>
                    <m:rPr/>
                    <w:rPr>
                      <w:rFonts w:ascii="Cambria Math" w:hAnsi="Cambria Math"/>
                      <w:color w:val="FF0000"/>
                      <w:lang w:eastAsia="zh-CN"/>
                    </w:rPr>
                    <m:t>N−1</m:t>
                  </m:r>
                  <m:ctrlPr>
                    <w:rPr>
                      <w:rFonts w:ascii="Cambria Math" w:hAnsi="Cambria Math"/>
                      <w:i/>
                      <w:color w:val="FF0000"/>
                      <w:lang w:eastAsia="zh-CN"/>
                    </w:rPr>
                  </m:ctrlPr>
                </m:sup>
                <m:e>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lang w:eastAsia="zh-CN"/>
                        </w:rPr>
                        <m:t>2</m:t>
                      </m:r>
                      <m:ctrlPr>
                        <w:rPr>
                          <w:rFonts w:ascii="Cambria Math" w:hAnsi="Cambria Math"/>
                          <w:i/>
                          <w:color w:val="FF0000"/>
                        </w:rPr>
                      </m:ctrlPr>
                    </m:sup>
                  </m:sSubSup>
                  <m:ctrlPr>
                    <w:rPr>
                      <w:rFonts w:ascii="Cambria Math" w:hAnsi="Cambria Math"/>
                      <w:i/>
                      <w:color w:val="FF0000"/>
                      <w:lang w:eastAsia="zh-CN"/>
                    </w:rPr>
                  </m:ctrlPr>
                </m:e>
              </m:nary>
            </m:oMath>
            <w:r>
              <w:rPr>
                <w:rFonts w:hint="eastAsia" w:hAnsi="Cambria Math"/>
                <w:color w:val="FF0000"/>
                <w:lang w:eastAsia="zh-CN"/>
              </w:rPr>
              <w:t>,</w:t>
            </w:r>
          </w:p>
          <w:p>
            <w:pPr>
              <w:pStyle w:val="122"/>
              <w:spacing w:before="120" w:line="280" w:lineRule="atLeast"/>
              <w:ind w:left="0"/>
              <w:rPr>
                <w:rFonts w:hAnsi="Cambria Math"/>
                <w:color w:val="FF0000"/>
                <w:lang w:eastAsia="zh-CN"/>
              </w:rPr>
            </w:pPr>
            <w:r>
              <w:rPr>
                <w:rFonts w:hint="eastAsia" w:hAnsi="Cambria Math"/>
                <w:color w:val="FF0000"/>
                <w:lang w:eastAsia="zh-CN"/>
              </w:rPr>
              <w:t xml:space="preserve">where </w:t>
            </w: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1</m:t>
                  </m:r>
                  <m:ctrlPr>
                    <w:rPr>
                      <w:rFonts w:ascii="Cambria Math" w:hAnsi="Cambria Math"/>
                      <w:i/>
                      <w:color w:val="FF0000"/>
                    </w:rPr>
                  </m:ctrlPr>
                </m:sup>
              </m:sSubSup>
            </m:oMath>
            <w:r>
              <w:rPr>
                <w:rFonts w:hint="eastAsia" w:hAnsi="Cambria Math"/>
                <w:color w:val="FF0000"/>
                <w:lang w:eastAsia="zh-CN"/>
              </w:rPr>
              <w:t xml:space="preserve"> and </w:t>
            </w: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lang w:eastAsia="zh-CN"/>
                    </w:rPr>
                    <m:t>2</m:t>
                  </m:r>
                  <m:ctrlPr>
                    <w:rPr>
                      <w:rFonts w:ascii="Cambria Math" w:hAnsi="Cambria Math"/>
                      <w:i/>
                      <w:color w:val="FF0000"/>
                    </w:rPr>
                  </m:ctrlPr>
                </m:sup>
              </m:sSubSup>
            </m:oMath>
            <w:r>
              <w:rPr>
                <w:rFonts w:hint="eastAsia" w:hAnsi="Cambria Math"/>
                <w:color w:val="FF0000"/>
                <w:lang w:eastAsia="zh-CN"/>
              </w:rPr>
              <w:t xml:space="preserve"> are subband SGCS values, each of which can be calculated as,</w:t>
            </w:r>
          </w:p>
          <w:p>
            <w:pPr>
              <w:pStyle w:val="122"/>
              <w:spacing w:before="120" w:line="280" w:lineRule="atLeast"/>
              <w:ind w:left="851"/>
              <w:jc w:val="center"/>
              <w:rPr>
                <w:color w:val="FF0000"/>
              </w:rPr>
            </w:pP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1</m:t>
                  </m:r>
                  <m:ctrlPr>
                    <w:rPr>
                      <w:rFonts w:ascii="Cambria Math" w:hAnsi="Cambria Math"/>
                      <w:i/>
                      <w:color w:val="FF0000"/>
                    </w:rPr>
                  </m:ctrlPr>
                </m:sup>
              </m:sSubSup>
              <m:r>
                <m:rP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hr m:val="̃"/>
                                      <m:ctrlPr>
                                        <w:rPr>
                                          <w:rFonts w:ascii="Cambria Math" w:hAnsi="Cambria Math"/>
                                          <w:i/>
                                          <w:color w:val="FF0000"/>
                                        </w:rPr>
                                      </m:ctrlPr>
                                    </m:accPr>
                                    <m:e>
                                      <m:r>
                                        <m:rPr>
                                          <m:sty m:val="bi"/>
                                        </m:rPr>
                                        <w:rPr>
                                          <w:rFonts w:ascii="Cambria Math" w:hAnsi="Cambria Math"/>
                                          <w:color w:val="FF0000"/>
                                        </w:rPr>
                                        <m:t>w</m:t>
                                      </m:r>
                                      <m:ctrlPr>
                                        <w:rPr>
                                          <w:rFonts w:ascii="Cambria Math" w:hAnsi="Cambria Math"/>
                                          <w:i/>
                                          <w:color w:val="FF0000"/>
                                        </w:rPr>
                                      </m:ctrlPr>
                                    </m:e>
                                  </m:acc>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H</m:t>
                                  </m:r>
                                  <m:ctrlPr>
                                    <w:rPr>
                                      <w:rFonts w:ascii="Cambria Math" w:hAnsi="Cambria Math"/>
                                      <w:i/>
                                      <w:color w:val="FF0000"/>
                                    </w:rPr>
                                  </m:ctrlPr>
                                </m:sup>
                              </m:sSubSup>
                              <m:sSub>
                                <m:sSubPr>
                                  <m:ctrlPr>
                                    <w:rPr>
                                      <w:rFonts w:ascii="Cambria Math" w:hAnsi="Cambria Math"/>
                                      <w:i/>
                                      <w:color w:val="FF0000"/>
                                    </w:rPr>
                                  </m:ctrlPr>
                                </m:sSubPr>
                                <m:e>
                                  <m:r>
                                    <m:rPr>
                                      <m:sty m:val="bi"/>
                                    </m:rPr>
                                    <w:rPr>
                                      <w:rFonts w:ascii="Cambria Math" w:hAnsi="Cambria Math"/>
                                      <w:color w:val="FF0000"/>
                                    </w:rPr>
                                    <m:t>w</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ctrlPr>
                            <w:rPr>
                              <w:rFonts w:ascii="Cambria Math" w:hAnsi="Cambria Math"/>
                              <w:i/>
                              <w:color w:val="FF0000"/>
                            </w:rPr>
                          </m:ctrlPr>
                        </m:num>
                        <m:den>
                          <m:d>
                            <m:dPr>
                              <m:begChr m:val="‖"/>
                              <m:endChr m:val="‖"/>
                              <m:ctrlPr>
                                <w:rPr>
                                  <w:rFonts w:ascii="Cambria Math" w:hAnsi="Cambria Math"/>
                                  <w:i/>
                                  <w:color w:val="FF0000"/>
                                </w:rPr>
                              </m:ctrlPr>
                            </m:dPr>
                            <m:e>
                              <m:sSub>
                                <m:sSubPr>
                                  <m:ctrlPr>
                                    <w:rPr>
                                      <w:rFonts w:ascii="Cambria Math" w:hAnsi="Cambria Math"/>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w</m:t>
                                      </m:r>
                                      <m:ctrlPr>
                                        <w:rPr>
                                          <w:rFonts w:ascii="Cambria Math" w:hAnsi="Cambria Math"/>
                                          <w:b/>
                                          <w:bCs/>
                                          <w:i/>
                                          <w:color w:val="FF0000"/>
                                        </w:rPr>
                                      </m:ctrlPr>
                                    </m:e>
                                  </m:acc>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r>
                            <m:rP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ctrlPr>
                            <w:rPr>
                              <w:rFonts w:ascii="Cambria Math" w:hAnsi="Cambria Math"/>
                              <w:i/>
                              <w:color w:val="FF0000"/>
                            </w:rPr>
                          </m:ctrlPr>
                        </m:den>
                      </m:f>
                      <m:ctrlPr>
                        <w:rPr>
                          <w:rFonts w:ascii="Cambria Math" w:hAnsi="Cambria Math"/>
                          <w:i/>
                          <w:color w:val="FF0000"/>
                        </w:rPr>
                      </m:ctrlPr>
                    </m:e>
                  </m:d>
                  <m:ctrlPr>
                    <w:rPr>
                      <w:rFonts w:ascii="Cambria Math" w:hAnsi="Cambria Math"/>
                      <w:i/>
                      <w:color w:val="FF0000"/>
                    </w:rPr>
                  </m:ctrlPr>
                </m:e>
                <m:sup>
                  <m:r>
                    <m:rPr/>
                    <w:rPr>
                      <w:rFonts w:ascii="Cambria Math" w:hAnsi="Cambria Math"/>
                      <w:color w:val="FF0000"/>
                    </w:rPr>
                    <m:t>2</m:t>
                  </m:r>
                  <m:ctrlPr>
                    <w:rPr>
                      <w:rFonts w:ascii="Cambria Math" w:hAnsi="Cambria Math"/>
                      <w:i/>
                      <w:color w:val="FF0000"/>
                    </w:rPr>
                  </m:ctrlPr>
                </m:sup>
              </m:sSup>
            </m:oMath>
            <w:r>
              <w:rPr>
                <w:color w:val="FF0000"/>
              </w:rPr>
              <w:t xml:space="preserve">, </w:t>
            </w:r>
          </w:p>
          <w:p>
            <w:pPr>
              <w:pStyle w:val="122"/>
              <w:spacing w:before="120" w:line="280" w:lineRule="atLeast"/>
              <w:ind w:left="851"/>
              <w:jc w:val="center"/>
              <w:rPr>
                <w:color w:val="FF0000"/>
              </w:rPr>
            </w:pPr>
            <m:oMath>
              <m:sSubSup>
                <m:sSubSupPr>
                  <m:ctrlPr>
                    <w:rPr>
                      <w:rFonts w:ascii="Cambria Math" w:hAnsi="Cambria Math"/>
                      <w:i/>
                      <w:color w:val="FF0000"/>
                    </w:rPr>
                  </m:ctrlPr>
                </m:sSubSupPr>
                <m:e>
                  <m:r>
                    <m:rPr/>
                    <w:rPr>
                      <w:rFonts w:ascii="Cambria Math" w:hAnsi="Cambria Math"/>
                      <w:color w:val="FF0000"/>
                    </w:rPr>
                    <m:t>SGCS</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2</m:t>
                  </m:r>
                  <m:ctrlPr>
                    <w:rPr>
                      <w:rFonts w:ascii="Cambria Math" w:hAnsi="Cambria Math"/>
                      <w:i/>
                      <w:color w:val="FF0000"/>
                    </w:rPr>
                  </m:ctrlPr>
                </m:sup>
              </m:sSubSup>
              <m:r>
                <m:rP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trlPr>
                                        <w:rPr>
                                          <w:rFonts w:ascii="Cambria Math" w:hAnsi="Cambria Math"/>
                                          <w:i/>
                                          <w:color w:val="FF0000"/>
                                        </w:rPr>
                                      </m:ctrlPr>
                                    </m:accPr>
                                    <m:e>
                                      <m:r>
                                        <m:rPr>
                                          <m:sty m:val="bi"/>
                                        </m:rPr>
                                        <w:rPr>
                                          <w:rFonts w:ascii="Cambria Math" w:hAnsi="Cambria Math"/>
                                          <w:color w:val="FF0000"/>
                                        </w:rPr>
                                        <m:t>w</m:t>
                                      </m:r>
                                      <m:ctrlPr>
                                        <w:rPr>
                                          <w:rFonts w:ascii="Cambria Math" w:hAnsi="Cambria Math"/>
                                          <w:i/>
                                          <w:color w:val="FF0000"/>
                                        </w:rPr>
                                      </m:ctrlPr>
                                    </m:e>
                                  </m:acc>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up>
                                  <m:r>
                                    <m:rPr/>
                                    <w:rPr>
                                      <w:rFonts w:ascii="Cambria Math" w:hAnsi="Cambria Math"/>
                                      <w:color w:val="FF0000"/>
                                    </w:rPr>
                                    <m:t>H</m:t>
                                  </m:r>
                                  <m:ctrlPr>
                                    <w:rPr>
                                      <w:rFonts w:ascii="Cambria Math" w:hAnsi="Cambria Math"/>
                                      <w:i/>
                                      <w:color w:val="FF0000"/>
                                    </w:rPr>
                                  </m:ctrlPr>
                                </m:sup>
                              </m:sSubSup>
                              <m:sSub>
                                <m:sSubPr>
                                  <m:ctrlPr>
                                    <w:rPr>
                                      <w:rFonts w:ascii="Cambria Math" w:hAnsi="Cambria Math"/>
                                      <w:i/>
                                      <w:color w:val="FF0000"/>
                                    </w:rPr>
                                  </m:ctrlPr>
                                </m:sSubPr>
                                <m:e>
                                  <m:r>
                                    <m:rPr>
                                      <m:sty m:val="bi"/>
                                    </m:rPr>
                                    <w:rPr>
                                      <w:rFonts w:ascii="Cambria Math" w:hAnsi="Cambria Math"/>
                                      <w:color w:val="FF0000"/>
                                    </w:rPr>
                                    <m:t>w</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ctrlPr>
                            <w:rPr>
                              <w:rFonts w:ascii="Cambria Math" w:hAnsi="Cambria Math"/>
                              <w:i/>
                              <w:color w:val="FF0000"/>
                            </w:rPr>
                          </m:ctrlPr>
                        </m:num>
                        <m:den>
                          <m:d>
                            <m:dPr>
                              <m:begChr m:val="‖"/>
                              <m:endChr m:val="‖"/>
                              <m:ctrlPr>
                                <w:rPr>
                                  <w:rFonts w:ascii="Cambria Math" w:hAnsi="Cambria Math"/>
                                  <w:i/>
                                  <w:color w:val="FF0000"/>
                                </w:rPr>
                              </m:ctrlPr>
                            </m:dPr>
                            <m:e>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ctrlPr>
                                        <w:rPr>
                                          <w:rFonts w:ascii="Cambria Math" w:hAnsi="Cambria Math"/>
                                          <w:i/>
                                          <w:color w:val="FF0000"/>
                                        </w:rPr>
                                      </m:ctrlPr>
                                    </m:e>
                                  </m:acc>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r>
                            <m:rP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ctrlPr>
                                <w:rPr>
                                  <w:rFonts w:ascii="Cambria Math" w:hAnsi="Cambria Math"/>
                                  <w:i/>
                                  <w:color w:val="FF0000"/>
                                </w:rPr>
                              </m:ctrlPr>
                            </m:e>
                          </m:d>
                          <m:ctrlPr>
                            <w:rPr>
                              <w:rFonts w:ascii="Cambria Math" w:hAnsi="Cambria Math"/>
                              <w:i/>
                              <w:color w:val="FF0000"/>
                            </w:rPr>
                          </m:ctrlPr>
                        </m:den>
                      </m:f>
                      <m:ctrlPr>
                        <w:rPr>
                          <w:rFonts w:ascii="Cambria Math" w:hAnsi="Cambria Math"/>
                          <w:i/>
                          <w:color w:val="FF0000"/>
                        </w:rPr>
                      </m:ctrlPr>
                    </m:e>
                  </m:d>
                  <m:ctrlPr>
                    <w:rPr>
                      <w:rFonts w:ascii="Cambria Math" w:hAnsi="Cambria Math"/>
                      <w:i/>
                      <w:color w:val="FF0000"/>
                    </w:rPr>
                  </m:ctrlPr>
                </m:e>
                <m:sup>
                  <m:r>
                    <m:rPr/>
                    <w:rPr>
                      <w:rFonts w:ascii="Cambria Math" w:hAnsi="Cambria Math"/>
                      <w:color w:val="FF0000"/>
                    </w:rPr>
                    <m:t>2</m:t>
                  </m:r>
                  <m:ctrlPr>
                    <w:rPr>
                      <w:rFonts w:ascii="Cambria Math" w:hAnsi="Cambria Math"/>
                      <w:i/>
                      <w:color w:val="FF0000"/>
                    </w:rPr>
                  </m:ctrlPr>
                </m:sup>
              </m:sSup>
            </m:oMath>
            <w:r>
              <w:rPr>
                <w:color w:val="FF0000"/>
              </w:rPr>
              <w:t xml:space="preserve">, </w:t>
            </w:r>
          </w:p>
          <w:p>
            <w:pPr>
              <w:pStyle w:val="122"/>
              <w:spacing w:before="120" w:line="280" w:lineRule="atLeast"/>
              <w:ind w:left="0"/>
              <w:jc w:val="left"/>
              <w:rPr>
                <w:color w:val="FF0000"/>
              </w:rPr>
            </w:pPr>
            <w:r>
              <w:rPr>
                <w:rFonts w:hint="eastAsia"/>
                <w:color w:val="FF0000"/>
                <w:lang w:eastAsia="zh-CN"/>
              </w:rPr>
              <w:t>w</w:t>
            </w:r>
            <w:r>
              <w:rPr>
                <w:color w:val="FF0000"/>
              </w:rPr>
              <w:t>here</w:t>
            </w:r>
            <w:r>
              <w:rPr>
                <w:rFonts w:hint="eastAsia"/>
                <w:color w:val="FF0000"/>
                <w:lang w:eastAsia="zh-CN"/>
              </w:rPr>
              <w:t xml:space="preserve"> </w:t>
            </w:r>
            <m:oMath>
              <m:r>
                <m:rPr/>
                <w:rPr>
                  <w:rFonts w:ascii="Cambria Math" w:hAnsi="Cambria Math"/>
                  <w:color w:val="FF0000"/>
                  <w:lang w:eastAsia="zh-CN"/>
                </w:rPr>
                <m:t>N</m:t>
              </m:r>
            </m:oMath>
            <w:r>
              <w:rPr>
                <w:rFonts w:hint="eastAsia"/>
                <w:color w:val="FF0000"/>
                <w:lang w:eastAsia="zh-CN"/>
              </w:rPr>
              <w:t xml:space="preserve"> is the total number of all the subbands configured by </w:t>
            </w:r>
            <w:r>
              <w:rPr>
                <w:rFonts w:hint="eastAsia"/>
                <w:i/>
                <w:iCs/>
                <w:color w:val="FF0000"/>
                <w:lang w:eastAsia="zh-CN"/>
              </w:rPr>
              <w:t>csi-ReportingBand</w:t>
            </w:r>
            <w:r>
              <w:rPr>
                <w:rFonts w:hint="eastAsia"/>
                <w:color w:val="FF0000"/>
                <w:lang w:eastAsia="zh-CN"/>
              </w:rPr>
              <w:t>.</w:t>
            </w:r>
            <w:r>
              <w:rPr>
                <w:color w:val="FF0000"/>
              </w:rPr>
              <w:t xml:space="preserve"> </w:t>
            </w:r>
            <m:oMath>
              <m:sSub>
                <m:sSubPr>
                  <m:ctrlPr>
                    <w:rPr>
                      <w:rFonts w:ascii="Cambria Math" w:hAnsi="Cambria Math"/>
                      <w:color w:val="FF0000"/>
                    </w:rPr>
                  </m:ctrlPr>
                </m:sSubPr>
                <m:e>
                  <m:acc>
                    <m:accPr>
                      <m:chr m:val="̃"/>
                      <m:ctrlPr>
                        <w:rPr>
                          <w:rFonts w:ascii="Cambria Math" w:hAnsi="Cambria Math"/>
                          <w:color w:val="FF0000"/>
                        </w:rPr>
                      </m:ctrlPr>
                    </m:accPr>
                    <m:e>
                      <m:r>
                        <m:rPr>
                          <m:sty m:val="bi"/>
                        </m:rPr>
                        <w:rPr>
                          <w:rFonts w:ascii="Cambria Math" w:hAnsi="Cambria Math"/>
                          <w:color w:val="FF0000"/>
                        </w:rPr>
                        <m:t>w</m:t>
                      </m:r>
                      <m:ctrlPr>
                        <w:rPr>
                          <w:rFonts w:ascii="Cambria Math" w:hAnsi="Cambria Math"/>
                          <w:color w:val="FF0000"/>
                        </w:rPr>
                      </m:ctrlPr>
                    </m:e>
                  </m:acc>
                  <m:ctrlPr>
                    <w:rPr>
                      <w:rFonts w:ascii="Cambria Math" w:hAnsi="Cambria Math"/>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color w:val="FF0000"/>
                    </w:rPr>
                  </m:ctrlPr>
                </m:sub>
              </m:sSub>
            </m:oMath>
            <w:r>
              <w:rPr>
                <w:color w:val="FF0000"/>
              </w:rPr>
              <w:t xml:space="preserve"> is the predicted precoder represented by predicted PMI for </w:t>
            </w:r>
            <m:oMath>
              <m:r>
                <m:rPr/>
                <w:rPr>
                  <w:rFonts w:ascii="Cambria Math" w:hAnsi="Cambria Math"/>
                  <w:color w:val="FF0000"/>
                  <w:lang w:val="en-GB"/>
                </w:rPr>
                <m:t>k</m:t>
              </m:r>
            </m:oMath>
            <w:r>
              <w:rPr>
                <w:color w:val="FF0000"/>
              </w:rPr>
              <w:t xml:space="preserve">-th layer, </w:t>
            </w:r>
            <m:oMath>
              <m:r>
                <m:rPr/>
                <w:rPr>
                  <w:rFonts w:ascii="Cambria Math" w:hAnsi="Cambria Math"/>
                  <w:color w:val="FF0000"/>
                  <w:lang w:eastAsia="zh-CN"/>
                </w:rPr>
                <m:t>n</m:t>
              </m:r>
            </m:oMath>
            <w:r>
              <w:rPr>
                <w:rFonts w:hint="eastAsia" w:hAnsi="Cambria Math"/>
                <w:iCs/>
                <w:color w:val="FF0000"/>
                <w:lang w:eastAsia="zh-CN"/>
              </w:rPr>
              <w:t>-</w:t>
            </w:r>
            <w:r>
              <w:rPr>
                <w:rFonts w:hint="eastAsia"/>
                <w:color w:val="FF0000"/>
                <w:lang w:eastAsia="zh-CN"/>
              </w:rPr>
              <w:t>th</w:t>
            </w:r>
            <w:r>
              <w:rPr>
                <w:color w:val="FF0000"/>
                <w:lang w:val="en-GB"/>
              </w:rPr>
              <w:t xml:space="preserve"> </w:t>
            </w:r>
            <w:r>
              <w:rPr>
                <w:rFonts w:hint="eastAsia"/>
                <w:color w:val="FF0000"/>
                <w:lang w:eastAsia="zh-CN"/>
              </w:rPr>
              <w:t>subband</w:t>
            </w:r>
            <w:r>
              <w:rPr>
                <w:color w:val="FF0000"/>
              </w:rPr>
              <w:t xml:space="preserve">, and for </w:t>
            </w:r>
            <m:oMath>
              <m:r>
                <m:rPr/>
                <w:rPr>
                  <w:rFonts w:ascii="Cambria Math" w:hAnsi="Cambria Math"/>
                  <w:color w:val="FF0000"/>
                </w:rPr>
                <m:t>S</m:t>
              </m:r>
            </m:oMath>
            <w:r>
              <w:rPr>
                <w:color w:val="FF0000"/>
              </w:rPr>
              <w:t xml:space="preserve">-th time instance corresponding to the report of the first Reporting Setting, </w:t>
            </w:r>
            <m:oMath>
              <m:sSub>
                <m:sSubPr>
                  <m:ctrlPr>
                    <w:rPr>
                      <w:rFonts w:ascii="Cambria Math" w:hAnsi="Cambria Math"/>
                      <w:i/>
                      <w:color w:val="FF0000"/>
                    </w:rPr>
                  </m:ctrlPr>
                </m:sSubPr>
                <m:e>
                  <m:r>
                    <m:rPr>
                      <m:sty m:val="bi"/>
                    </m:rPr>
                    <w:rPr>
                      <w:rFonts w:ascii="Cambria Math" w:hAnsi="Cambria Math"/>
                      <w:color w:val="FF0000"/>
                    </w:rPr>
                    <m:t>w</m:t>
                  </m:r>
                  <m:ctrlPr>
                    <w:rPr>
                      <w:rFonts w:ascii="Cambria Math" w:hAnsi="Cambria Math"/>
                      <w:i/>
                      <w:color w:val="FF0000"/>
                    </w:rPr>
                  </m:ctrlPr>
                </m:e>
                <m:sub>
                  <m:r>
                    <m:rPr/>
                    <w:rPr>
                      <w:rFonts w:ascii="Cambria Math" w:hAnsi="Cambria Math"/>
                      <w:color w:val="FF0000"/>
                    </w:rPr>
                    <m:t>k</m:t>
                  </m:r>
                  <m:r>
                    <m:rPr/>
                    <w:rPr>
                      <w:rFonts w:ascii="Cambria Math" w:hAnsi="Cambria Math"/>
                      <w:color w:val="FF0000"/>
                      <w:lang w:eastAsia="zh-CN"/>
                    </w:rPr>
                    <m:t>,n</m:t>
                  </m:r>
                  <m:ctrlPr>
                    <w:rPr>
                      <w:rFonts w:ascii="Cambria Math" w:hAnsi="Cambria Math"/>
                      <w:i/>
                      <w:color w:val="FF0000"/>
                    </w:rPr>
                  </m:ctrlPr>
                </m:sub>
              </m:sSub>
            </m:oMath>
            <w:r>
              <w:rPr>
                <w:color w:val="FF0000"/>
              </w:rPr>
              <w:t xml:space="preserve"> is the precoder represented by non-predicted PMI for </w:t>
            </w:r>
            <m:oMath>
              <m:r>
                <m:rPr/>
                <w:rPr>
                  <w:rFonts w:ascii="Cambria Math" w:hAnsi="Cambria Math"/>
                  <w:color w:val="FF0000"/>
                  <w:lang w:val="en-GB"/>
                </w:rPr>
                <m:t>k</m:t>
              </m:r>
            </m:oMath>
            <w:r>
              <w:rPr>
                <w:color w:val="FF0000"/>
              </w:rPr>
              <w:t xml:space="preserve">-th layer, </w:t>
            </w:r>
            <m:oMath>
              <m:r>
                <m:rPr/>
                <w:rPr>
                  <w:rFonts w:ascii="Cambria Math" w:hAnsi="Cambria Math"/>
                  <w:color w:val="FF0000"/>
                  <w:lang w:eastAsia="zh-CN"/>
                </w:rPr>
                <m:t>n</m:t>
              </m:r>
            </m:oMath>
            <w:r>
              <w:rPr>
                <w:rFonts w:hint="eastAsia" w:hAnsi="Cambria Math"/>
                <w:iCs/>
                <w:color w:val="FF0000"/>
                <w:lang w:eastAsia="zh-CN"/>
              </w:rPr>
              <w:t>-</w:t>
            </w:r>
            <w:r>
              <w:rPr>
                <w:rFonts w:hint="eastAsia"/>
                <w:color w:val="FF0000"/>
                <w:lang w:eastAsia="zh-CN"/>
              </w:rPr>
              <w:t>th</w:t>
            </w:r>
            <w:r>
              <w:rPr>
                <w:color w:val="FF0000"/>
                <w:lang w:val="en-GB"/>
              </w:rPr>
              <w:t xml:space="preserve"> </w:t>
            </w:r>
            <w:r>
              <w:rPr>
                <w:rFonts w:hint="eastAsia"/>
                <w:color w:val="FF0000"/>
                <w:lang w:eastAsia="zh-CN"/>
              </w:rPr>
              <w:t>subband</w:t>
            </w:r>
            <w:r>
              <w:rPr>
                <w:color w:val="FF0000"/>
              </w:rPr>
              <w:t xml:space="preserve">, based on the channel measurement corresponding to the second Reporting Setting, and </w:t>
            </w:r>
            <m:oMath>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ctrlPr>
                        <w:rPr>
                          <w:rFonts w:ascii="Cambria Math" w:hAnsi="Cambria Math"/>
                          <w:i/>
                          <w:color w:val="FF0000"/>
                        </w:rPr>
                      </m:ctrlPr>
                    </m:e>
                  </m:acc>
                  <m:ctrlPr>
                    <w:rPr>
                      <w:rFonts w:ascii="Cambria Math" w:hAnsi="Cambria Math"/>
                      <w:i/>
                      <w:color w:val="FF0000"/>
                    </w:rPr>
                  </m:ctrlPr>
                </m:e>
                <m:sub>
                  <m:r>
                    <m:rPr/>
                    <w:rPr>
                      <w:rFonts w:ascii="Cambria Math" w:hAnsi="Cambria Math"/>
                      <w:color w:val="FF0000"/>
                    </w:rPr>
                    <m:t>k</m:t>
                  </m:r>
                  <m:ctrlPr>
                    <w:rPr>
                      <w:rFonts w:ascii="Cambria Math" w:hAnsi="Cambria Math"/>
                      <w:i/>
                      <w:color w:val="FF0000"/>
                    </w:rPr>
                  </m:ctrlPr>
                </m:sub>
              </m:sSub>
            </m:oMath>
            <w:r>
              <w:rPr>
                <w:color w:val="FF0000"/>
              </w:rPr>
              <w:t xml:space="preserve"> is the precoder represented by PMI for </w:t>
            </w:r>
            <m:oMath>
              <m:r>
                <m:rPr/>
                <w:rPr>
                  <w:rFonts w:ascii="Cambria Math" w:hAnsi="Cambria Math"/>
                  <w:color w:val="FF0000"/>
                  <w:lang w:val="en-GB"/>
                </w:rPr>
                <m:t>k</m:t>
              </m:r>
            </m:oMath>
            <w:r>
              <w:rPr>
                <w:color w:val="FF0000"/>
              </w:rPr>
              <w:t xml:space="preserve">-th layer, </w:t>
            </w:r>
            <m:oMath>
              <m:r>
                <m:rPr/>
                <w:rPr>
                  <w:rFonts w:ascii="Cambria Math" w:hAnsi="Cambria Math"/>
                  <w:color w:val="FF0000"/>
                  <w:lang w:eastAsia="zh-CN"/>
                </w:rPr>
                <m:t>n</m:t>
              </m:r>
            </m:oMath>
            <w:r>
              <w:rPr>
                <w:rFonts w:hint="eastAsia" w:hAnsi="Cambria Math"/>
                <w:iCs/>
                <w:color w:val="FF0000"/>
                <w:lang w:eastAsia="zh-CN"/>
              </w:rPr>
              <w:t>-</w:t>
            </w:r>
            <w:r>
              <w:rPr>
                <w:rFonts w:hint="eastAsia"/>
                <w:color w:val="FF0000"/>
                <w:lang w:eastAsia="zh-CN"/>
              </w:rPr>
              <w:t>th</w:t>
            </w:r>
            <w:r>
              <w:rPr>
                <w:color w:val="FF0000"/>
                <w:lang w:val="en-GB"/>
              </w:rPr>
              <w:t xml:space="preserve"> </w:t>
            </w:r>
            <w:r>
              <w:rPr>
                <w:rFonts w:hint="eastAsia"/>
                <w:color w:val="FF0000"/>
                <w:lang w:eastAsia="zh-CN"/>
              </w:rPr>
              <w:t>subband</w:t>
            </w:r>
            <w:r>
              <w:rPr>
                <w:color w:val="FF0000"/>
              </w:rPr>
              <w:t>, based on the latest CSI-RS resource transmission occasion, no later than CSI reference resource, corresponding to the report of the first Reporting Setting.</w:t>
            </w:r>
            <w:r>
              <w:rPr>
                <w:rFonts w:hint="eastAsia"/>
                <w:color w:val="FF0000"/>
                <w:lang w:eastAsia="zh-CN"/>
              </w:rPr>
              <w:t xml:space="preserve"> </w:t>
            </w:r>
          </w:p>
          <w:p>
            <w:pPr>
              <w:pStyle w:val="122"/>
              <w:spacing w:before="120" w:line="280" w:lineRule="atLeast"/>
              <w:ind w:left="851"/>
              <w:jc w:val="center"/>
              <w:rPr>
                <w:strike/>
                <w:color w:val="000000"/>
              </w:rPr>
            </w:pPr>
            <m:oMath>
              <m:sSubSup>
                <m:sSubSupPr>
                  <m:ctrlPr>
                    <w:rPr>
                      <w:rFonts w:ascii="Cambria Math" w:hAnsi="Cambria Math"/>
                      <w:i/>
                      <w:strike/>
                      <w:color w:val="000000"/>
                    </w:rPr>
                  </m:ctrlPr>
                </m:sSubSupPr>
                <m:e>
                  <m:r>
                    <m:rPr/>
                    <w:rPr>
                      <w:rFonts w:ascii="Cambria Math" w:hAnsi="Cambria Math"/>
                      <w:strike/>
                      <w:color w:val="000000"/>
                    </w:rPr>
                    <m:t>SGCS</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up>
                  <m:r>
                    <m:rPr/>
                    <w:rPr>
                      <w:rFonts w:ascii="Cambria Math" w:hAnsi="Cambria Math"/>
                      <w:strike/>
                      <w:color w:val="000000"/>
                    </w:rPr>
                    <m:t>1</m:t>
                  </m:r>
                  <m:ctrlPr>
                    <w:rPr>
                      <w:rFonts w:ascii="Cambria Math" w:hAnsi="Cambria Math"/>
                      <w:i/>
                      <w:strike/>
                      <w:color w:val="000000"/>
                    </w:rPr>
                  </m:ctrlPr>
                </m:sup>
              </m:sSubSup>
              <m:r>
                <m:rP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hr m:val="̃"/>
                                      <m:ctrlPr>
                                        <w:rPr>
                                          <w:rFonts w:ascii="Cambria Math" w:hAnsi="Cambria Math"/>
                                          <w:i/>
                                          <w:strike/>
                                          <w:color w:val="000000"/>
                                        </w:rPr>
                                      </m:ctrlPr>
                                    </m:accPr>
                                    <m:e>
                                      <m:r>
                                        <m:rPr>
                                          <m:sty m:val="bi"/>
                                        </m:rPr>
                                        <w:rPr>
                                          <w:rFonts w:ascii="Cambria Math" w:hAnsi="Cambria Math"/>
                                          <w:strike/>
                                          <w:color w:val="000000"/>
                                        </w:rPr>
                                        <m:t>w</m:t>
                                      </m:r>
                                      <m:ctrlPr>
                                        <w:rPr>
                                          <w:rFonts w:ascii="Cambria Math" w:hAnsi="Cambria Math"/>
                                          <w:i/>
                                          <w:strike/>
                                          <w:color w:val="000000"/>
                                        </w:rPr>
                                      </m:ctrlPr>
                                    </m:e>
                                  </m:acc>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up>
                                  <m:r>
                                    <m:rPr/>
                                    <w:rPr>
                                      <w:rFonts w:ascii="Cambria Math" w:hAnsi="Cambria Math"/>
                                      <w:strike/>
                                      <w:color w:val="000000"/>
                                    </w:rPr>
                                    <m:t>H</m:t>
                                  </m:r>
                                  <m:ctrlPr>
                                    <w:rPr>
                                      <w:rFonts w:ascii="Cambria Math" w:hAnsi="Cambria Math"/>
                                      <w:i/>
                                      <w:strike/>
                                      <w:color w:val="000000"/>
                                    </w:rPr>
                                  </m:ctrlPr>
                                </m:sup>
                              </m:sSubSup>
                              <m:sSub>
                                <m:sSubPr>
                                  <m:ctrlPr>
                                    <w:rPr>
                                      <w:rFonts w:ascii="Cambria Math" w:hAnsi="Cambria Math"/>
                                      <w:i/>
                                      <w:strike/>
                                      <w:color w:val="000000"/>
                                    </w:rPr>
                                  </m:ctrlPr>
                                </m:sSubPr>
                                <m:e>
                                  <m:r>
                                    <m:rPr>
                                      <m:sty m:val="bi"/>
                                    </m:rPr>
                                    <w:rPr>
                                      <w:rFonts w:ascii="Cambria Math" w:hAnsi="Cambria Math"/>
                                      <w:strike/>
                                      <w:color w:val="000000"/>
                                    </w:rPr>
                                    <m:t>w</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ctrlPr>
                            <w:rPr>
                              <w:rFonts w:ascii="Cambria Math" w:hAnsi="Cambria Math"/>
                              <w:i/>
                              <w:strike/>
                              <w:color w:val="000000"/>
                            </w:rPr>
                          </m:ctrlPr>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hr m:val="̃"/>
                                      <m:ctrlPr>
                                        <w:rPr>
                                          <w:rFonts w:ascii="Cambria Math" w:hAnsi="Cambria Math"/>
                                          <w:b/>
                                          <w:bCs/>
                                          <w:i/>
                                          <w:strike/>
                                          <w:color w:val="000000"/>
                                        </w:rPr>
                                      </m:ctrlPr>
                                    </m:accPr>
                                    <m:e>
                                      <m:r>
                                        <m:rPr>
                                          <m:sty m:val="bi"/>
                                        </m:rPr>
                                        <w:rPr>
                                          <w:rFonts w:ascii="Cambria Math" w:hAnsi="Cambria Math"/>
                                          <w:strike/>
                                          <w:color w:val="000000"/>
                                        </w:rPr>
                                        <m:t>w</m:t>
                                      </m:r>
                                      <m:ctrlPr>
                                        <w:rPr>
                                          <w:rFonts w:ascii="Cambria Math" w:hAnsi="Cambria Math"/>
                                          <w:b/>
                                          <w:bCs/>
                                          <w:i/>
                                          <w:strike/>
                                          <w:color w:val="000000"/>
                                        </w:rPr>
                                      </m:ctrlPr>
                                    </m:e>
                                  </m:acc>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r>
                            <m:rP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ctrlPr>
                            <w:rPr>
                              <w:rFonts w:ascii="Cambria Math" w:hAnsi="Cambria Math"/>
                              <w:i/>
                              <w:strike/>
                              <w:color w:val="000000"/>
                            </w:rPr>
                          </m:ctrlPr>
                        </m:den>
                      </m:f>
                      <m:ctrlPr>
                        <w:rPr>
                          <w:rFonts w:ascii="Cambria Math" w:hAnsi="Cambria Math"/>
                          <w:i/>
                          <w:strike/>
                          <w:color w:val="000000"/>
                        </w:rPr>
                      </m:ctrlPr>
                    </m:e>
                  </m:d>
                  <m:ctrlPr>
                    <w:rPr>
                      <w:rFonts w:ascii="Cambria Math" w:hAnsi="Cambria Math"/>
                      <w:i/>
                      <w:strike/>
                      <w:color w:val="000000"/>
                    </w:rPr>
                  </m:ctrlPr>
                </m:e>
                <m:sup>
                  <m:r>
                    <m:rPr/>
                    <w:rPr>
                      <w:rFonts w:ascii="Cambria Math" w:hAnsi="Cambria Math"/>
                      <w:strike/>
                      <w:color w:val="000000"/>
                    </w:rPr>
                    <m:t>2</m:t>
                  </m:r>
                  <m:ctrlPr>
                    <w:rPr>
                      <w:rFonts w:ascii="Cambria Math" w:hAnsi="Cambria Math"/>
                      <w:i/>
                      <w:strike/>
                      <w:color w:val="000000"/>
                    </w:rPr>
                  </m:ctrlPr>
                </m:sup>
              </m:sSup>
            </m:oMath>
            <w:r>
              <w:rPr>
                <w:strike/>
                <w:color w:val="000000"/>
              </w:rPr>
              <w:t xml:space="preserve">, </w:t>
            </w:r>
          </w:p>
          <w:p>
            <w:pPr>
              <w:pStyle w:val="122"/>
              <w:spacing w:before="120" w:line="280" w:lineRule="atLeast"/>
              <w:ind w:left="851"/>
              <w:jc w:val="center"/>
              <w:rPr>
                <w:strike/>
                <w:color w:val="000000"/>
              </w:rPr>
            </w:pPr>
            <m:oMath>
              <m:sSubSup>
                <m:sSubSupPr>
                  <m:ctrlPr>
                    <w:rPr>
                      <w:rFonts w:ascii="Cambria Math" w:hAnsi="Cambria Math"/>
                      <w:i/>
                      <w:strike/>
                      <w:color w:val="000000"/>
                    </w:rPr>
                  </m:ctrlPr>
                </m:sSubSupPr>
                <m:e>
                  <m:r>
                    <m:rPr/>
                    <w:rPr>
                      <w:rFonts w:ascii="Cambria Math" w:hAnsi="Cambria Math"/>
                      <w:strike/>
                      <w:color w:val="000000"/>
                    </w:rPr>
                    <m:t>SGCS</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up>
                  <m:r>
                    <m:rPr/>
                    <w:rPr>
                      <w:rFonts w:ascii="Cambria Math" w:hAnsi="Cambria Math"/>
                      <w:strike/>
                      <w:color w:val="000000"/>
                    </w:rPr>
                    <m:t>2</m:t>
                  </m:r>
                  <m:ctrlPr>
                    <w:rPr>
                      <w:rFonts w:ascii="Cambria Math" w:hAnsi="Cambria Math"/>
                      <w:i/>
                      <w:strike/>
                      <w:color w:val="000000"/>
                    </w:rPr>
                  </m:ctrlPr>
                </m:sup>
              </m:sSubSup>
              <m:r>
                <m:rP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trlPr>
                                        <w:rPr>
                                          <w:rFonts w:ascii="Cambria Math" w:hAnsi="Cambria Math"/>
                                          <w:i/>
                                          <w:strike/>
                                          <w:color w:val="000000"/>
                                        </w:rPr>
                                      </m:ctrlPr>
                                    </m:accPr>
                                    <m:e>
                                      <m:r>
                                        <m:rPr>
                                          <m:sty m:val="bi"/>
                                        </m:rPr>
                                        <w:rPr>
                                          <w:rFonts w:ascii="Cambria Math" w:hAnsi="Cambria Math"/>
                                          <w:strike/>
                                          <w:color w:val="000000"/>
                                        </w:rPr>
                                        <m:t>w</m:t>
                                      </m:r>
                                      <m:ctrlPr>
                                        <w:rPr>
                                          <w:rFonts w:ascii="Cambria Math" w:hAnsi="Cambria Math"/>
                                          <w:i/>
                                          <w:strike/>
                                          <w:color w:val="000000"/>
                                        </w:rPr>
                                      </m:ctrlPr>
                                    </m:e>
                                  </m:acc>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up>
                                  <m:r>
                                    <m:rPr/>
                                    <w:rPr>
                                      <w:rFonts w:ascii="Cambria Math" w:hAnsi="Cambria Math"/>
                                      <w:strike/>
                                      <w:color w:val="000000"/>
                                    </w:rPr>
                                    <m:t>H</m:t>
                                  </m:r>
                                  <m:ctrlPr>
                                    <w:rPr>
                                      <w:rFonts w:ascii="Cambria Math" w:hAnsi="Cambria Math"/>
                                      <w:i/>
                                      <w:strike/>
                                      <w:color w:val="000000"/>
                                    </w:rPr>
                                  </m:ctrlPr>
                                </m:sup>
                              </m:sSubSup>
                              <m:sSub>
                                <m:sSubPr>
                                  <m:ctrlPr>
                                    <w:rPr>
                                      <w:rFonts w:ascii="Cambria Math" w:hAnsi="Cambria Math"/>
                                      <w:i/>
                                      <w:strike/>
                                      <w:color w:val="000000"/>
                                    </w:rPr>
                                  </m:ctrlPr>
                                </m:sSubPr>
                                <m:e>
                                  <m:r>
                                    <m:rPr>
                                      <m:sty m:val="bi"/>
                                    </m:rPr>
                                    <w:rPr>
                                      <w:rFonts w:ascii="Cambria Math" w:hAnsi="Cambria Math"/>
                                      <w:strike/>
                                      <w:color w:val="000000"/>
                                    </w:rPr>
                                    <m:t>w</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ctrlPr>
                            <w:rPr>
                              <w:rFonts w:ascii="Cambria Math" w:hAnsi="Cambria Math"/>
                              <w:i/>
                              <w:strike/>
                              <w:color w:val="000000"/>
                            </w:rPr>
                          </m:ctrlPr>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ctrlPr>
                                        <w:rPr>
                                          <w:rFonts w:ascii="Cambria Math" w:hAnsi="Cambria Math"/>
                                          <w:i/>
                                          <w:strike/>
                                          <w:color w:val="000000"/>
                                        </w:rPr>
                                      </m:ctrlPr>
                                    </m:e>
                                  </m:acc>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r>
                            <m:rP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ctrlPr>
                                <w:rPr>
                                  <w:rFonts w:ascii="Cambria Math" w:hAnsi="Cambria Math"/>
                                  <w:i/>
                                  <w:strike/>
                                  <w:color w:val="000000"/>
                                </w:rPr>
                              </m:ctrlPr>
                            </m:e>
                          </m:d>
                          <m:ctrlPr>
                            <w:rPr>
                              <w:rFonts w:ascii="Cambria Math" w:hAnsi="Cambria Math"/>
                              <w:i/>
                              <w:strike/>
                              <w:color w:val="000000"/>
                            </w:rPr>
                          </m:ctrlPr>
                        </m:den>
                      </m:f>
                      <m:ctrlPr>
                        <w:rPr>
                          <w:rFonts w:ascii="Cambria Math" w:hAnsi="Cambria Math"/>
                          <w:i/>
                          <w:strike/>
                          <w:color w:val="000000"/>
                        </w:rPr>
                      </m:ctrlPr>
                    </m:e>
                  </m:d>
                  <m:ctrlPr>
                    <w:rPr>
                      <w:rFonts w:ascii="Cambria Math" w:hAnsi="Cambria Math"/>
                      <w:i/>
                      <w:strike/>
                      <w:color w:val="000000"/>
                    </w:rPr>
                  </m:ctrlPr>
                </m:e>
                <m:sup>
                  <m:r>
                    <m:rPr/>
                    <w:rPr>
                      <w:rFonts w:ascii="Cambria Math" w:hAnsi="Cambria Math"/>
                      <w:strike/>
                      <w:color w:val="000000"/>
                    </w:rPr>
                    <m:t>2</m:t>
                  </m:r>
                  <m:ctrlPr>
                    <w:rPr>
                      <w:rFonts w:ascii="Cambria Math" w:hAnsi="Cambria Math"/>
                      <w:i/>
                      <w:strike/>
                      <w:color w:val="000000"/>
                    </w:rPr>
                  </m:ctrlPr>
                </m:sup>
              </m:sSup>
            </m:oMath>
            <w:r>
              <w:rPr>
                <w:strike/>
                <w:color w:val="000000"/>
              </w:rPr>
              <w:t xml:space="preserve">, </w:t>
            </w:r>
          </w:p>
          <w:p>
            <w:pPr>
              <w:numPr>
                <w:ilvl w:val="255"/>
                <w:numId w:val="0"/>
              </w:numPr>
              <w:spacing w:before="120" w:line="280" w:lineRule="atLeast"/>
              <w:rPr>
                <w:strike/>
                <w:lang w:val="en-US" w:eastAsia="zh-CN"/>
              </w:rPr>
            </w:pPr>
            <w:r>
              <w:rPr>
                <w:strike/>
              </w:rPr>
              <w:t xml:space="preserve">where </w:t>
            </w:r>
            <m:oMath>
              <m:sSub>
                <m:sSubPr>
                  <m:ctrlPr>
                    <w:rPr>
                      <w:rFonts w:ascii="Cambria Math" w:hAnsi="Cambria Math"/>
                      <w:strike/>
                    </w:rPr>
                  </m:ctrlPr>
                </m:sSubPr>
                <m:e>
                  <m:acc>
                    <m:accPr>
                      <m:chr m:val="̃"/>
                      <m:ctrlPr>
                        <w:rPr>
                          <w:rFonts w:ascii="Cambria Math" w:hAnsi="Cambria Math"/>
                          <w:strike/>
                        </w:rPr>
                      </m:ctrlPr>
                    </m:accPr>
                    <m:e>
                      <m:r>
                        <m:rPr>
                          <m:sty m:val="bi"/>
                        </m:rPr>
                        <w:rPr>
                          <w:rFonts w:ascii="Cambria Math" w:hAnsi="Cambria Math"/>
                          <w:strike/>
                        </w:rPr>
                        <m:t>w</m:t>
                      </m:r>
                      <m:ctrlPr>
                        <w:rPr>
                          <w:rFonts w:ascii="Cambria Math" w:hAnsi="Cambria Math"/>
                          <w:strike/>
                        </w:rPr>
                      </m:ctrlPr>
                    </m:e>
                  </m:acc>
                  <m:ctrlPr>
                    <w:rPr>
                      <w:rFonts w:ascii="Cambria Math" w:hAnsi="Cambria Math"/>
                      <w:strike/>
                    </w:rPr>
                  </m:ctrlPr>
                </m:e>
                <m:sub>
                  <m:r>
                    <m:rPr/>
                    <w:rPr>
                      <w:rFonts w:ascii="Cambria Math" w:hAnsi="Cambria Math"/>
                      <w:strike/>
                    </w:rPr>
                    <m:t>k</m:t>
                  </m:r>
                  <m:ctrlPr>
                    <w:rPr>
                      <w:rFonts w:ascii="Cambria Math" w:hAnsi="Cambria Math"/>
                      <w:strike/>
                    </w:rPr>
                  </m:ctrlPr>
                </m:sub>
              </m:sSub>
            </m:oMath>
            <w:r>
              <w:rPr>
                <w:strike/>
              </w:rPr>
              <w:t xml:space="preserve"> is the predicted precoder represented by predicted PMI for </w:t>
            </w:r>
            <m:oMath>
              <m:r>
                <m:rPr/>
                <w:rPr>
                  <w:rFonts w:ascii="Cambria Math" w:hAnsi="Cambria Math"/>
                  <w:strike/>
                </w:rPr>
                <m:t>k</m:t>
              </m:r>
            </m:oMath>
            <w:r>
              <w:rPr>
                <w:strike/>
              </w:rPr>
              <w:t xml:space="preserve">-th layer, averaged over all the subbands configured by </w:t>
            </w:r>
            <w:r>
              <w:rPr>
                <w:i/>
                <w:iCs/>
                <w:strike/>
              </w:rPr>
              <w:t>csi-ReportingBand</w:t>
            </w:r>
            <w:r>
              <w:rPr>
                <w:strike/>
              </w:rPr>
              <w:t xml:space="preserve">, and for </w:t>
            </w:r>
            <m:oMath>
              <m:r>
                <m:rPr/>
                <w:rPr>
                  <w:rFonts w:ascii="Cambria Math" w:hAnsi="Cambria Math"/>
                  <w:strike/>
                </w:rPr>
                <m:t>S</m:t>
              </m:r>
            </m:oMath>
            <w:r>
              <w:rPr>
                <w:strike/>
              </w:rPr>
              <w:t xml:space="preserve">-th time instance corresponding to the report of the first Reporting Setting, </w:t>
            </w:r>
            <m:oMath>
              <m:sSub>
                <m:sSubPr>
                  <m:ctrlPr>
                    <w:rPr>
                      <w:rFonts w:ascii="Cambria Math" w:hAnsi="Cambria Math"/>
                      <w:i/>
                      <w:strike/>
                      <w:color w:val="000000"/>
                    </w:rPr>
                  </m:ctrlPr>
                </m:sSubPr>
                <m:e>
                  <m:r>
                    <m:rPr>
                      <m:sty m:val="bi"/>
                    </m:rPr>
                    <w:rPr>
                      <w:rFonts w:ascii="Cambria Math" w:hAnsi="Cambria Math"/>
                      <w:strike/>
                      <w:color w:val="000000"/>
                    </w:rPr>
                    <m:t>w</m:t>
                  </m:r>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oMath>
            <w:r>
              <w:rPr>
                <w:strike/>
              </w:rPr>
              <w:t xml:space="preserve"> is the precoder represented by non-predicted PMI for </w:t>
            </w:r>
            <m:oMath>
              <m:r>
                <m:rPr/>
                <w:rPr>
                  <w:rFonts w:ascii="Cambria Math" w:hAnsi="Cambria Math"/>
                  <w:strike/>
                </w:rPr>
                <m:t>k</m:t>
              </m:r>
            </m:oMath>
            <w:r>
              <w:rPr>
                <w:strike/>
              </w:rPr>
              <w:t xml:space="preserve">-th layer, averaged over all the subbands configured by </w:t>
            </w:r>
            <w:r>
              <w:rPr>
                <w:i/>
                <w:iCs/>
                <w:strike/>
              </w:rPr>
              <w:t>csi-ReportingBand</w:t>
            </w:r>
            <w:r>
              <w:rPr>
                <w:strike/>
              </w:rPr>
              <w:t xml:space="preserve">, based on the channel measurement corresponding to the second Reporting Setting, and </w:t>
            </w:r>
            <m:oMath>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ctrlPr>
                        <w:rPr>
                          <w:rFonts w:ascii="Cambria Math" w:hAnsi="Cambria Math"/>
                          <w:i/>
                          <w:strike/>
                          <w:color w:val="000000"/>
                        </w:rPr>
                      </m:ctrlPr>
                    </m:e>
                  </m:acc>
                  <m:ctrlPr>
                    <w:rPr>
                      <w:rFonts w:ascii="Cambria Math" w:hAnsi="Cambria Math"/>
                      <w:i/>
                      <w:strike/>
                      <w:color w:val="000000"/>
                    </w:rPr>
                  </m:ctrlPr>
                </m:e>
                <m:sub>
                  <m:r>
                    <m:rPr/>
                    <w:rPr>
                      <w:rFonts w:ascii="Cambria Math" w:hAnsi="Cambria Math"/>
                      <w:strike/>
                      <w:color w:val="000000"/>
                    </w:rPr>
                    <m:t>k</m:t>
                  </m:r>
                  <m:ctrlPr>
                    <w:rPr>
                      <w:rFonts w:ascii="Cambria Math" w:hAnsi="Cambria Math"/>
                      <w:i/>
                      <w:strike/>
                      <w:color w:val="000000"/>
                    </w:rPr>
                  </m:ctrlPr>
                </m:sub>
              </m:sSub>
            </m:oMath>
            <w:r>
              <w:rPr>
                <w:strike/>
              </w:rPr>
              <w:t xml:space="preserve"> is the precoder represented by PMI for </w:t>
            </w:r>
            <m:oMath>
              <m:r>
                <m:rPr/>
                <w:rPr>
                  <w:rFonts w:ascii="Cambria Math" w:hAnsi="Cambria Math"/>
                  <w:strike/>
                </w:rPr>
                <m:t>k</m:t>
              </m:r>
            </m:oMath>
            <w:r>
              <w:rPr>
                <w:strike/>
              </w:rPr>
              <w:t xml:space="preserve">-th layer, averaged over all the subbands configured by </w:t>
            </w:r>
            <w:r>
              <w:rPr>
                <w:i/>
                <w:iCs/>
                <w:strike/>
              </w:rPr>
              <w:t>csi-ReportingBand</w:t>
            </w:r>
            <w:r>
              <w:rPr>
                <w:strike/>
              </w:rPr>
              <w:t>, based on the latest CSI-RS resource transmission occasion, no later than CSI reference resource, corresponding to the report of the first Reporting Setting.</w:t>
            </w:r>
          </w:p>
        </w:tc>
      </w:tr>
    </w:tbl>
    <w:p>
      <w:pPr>
        <w:rPr>
          <w:b/>
          <w:bCs/>
          <w:lang w:val="en-US" w:eastAsia="zh-CN"/>
        </w:rPr>
      </w:pPr>
    </w:p>
    <w:p>
      <w:pPr>
        <w:rPr>
          <w:b/>
          <w:bCs/>
          <w:lang w:val="en-US" w:eastAsia="zh-CN"/>
        </w:rPr>
      </w:pPr>
      <w:r>
        <w:rPr>
          <w:rFonts w:hint="eastAsia"/>
          <w:b/>
          <w:bCs/>
          <w:lang w:val="en-US" w:eastAsia="zh-CN"/>
        </w:rPr>
        <w:t>For specification support for triggering monitoring report associated with SP inference report:</w:t>
      </w:r>
    </w:p>
    <w:p>
      <w:pPr>
        <w:rPr>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Observation 2:</w:t>
      </w:r>
      <w:r>
        <w:rPr>
          <w:rFonts w:hint="eastAsia"/>
          <w:color w:val="000000" w:themeColor="text1"/>
          <w:lang w:val="en-US" w:eastAsia="zh-CN"/>
          <w14:textFill>
            <w14:solidFill>
              <w14:schemeClr w14:val="tx1"/>
            </w14:solidFill>
          </w14:textFill>
        </w:rPr>
        <w:t xml:space="preserve"> </w:t>
      </w:r>
      <w:r>
        <w:rPr>
          <w:rFonts w:hint="eastAsia" w:hAnsi="Cambria Math" w:cs="Arial"/>
          <w:color w:val="000000" w:themeColor="text1"/>
          <w:lang w:val="en-US" w:eastAsia="zh-CN"/>
          <w14:textFill>
            <w14:solidFill>
              <w14:schemeClr w14:val="tx1"/>
            </w14:solidFill>
          </w14:textFill>
        </w:rPr>
        <w:t>The only procedure captured in latest specification is for monitoring report associated with an AP inference report. But monitoring report associated with SP inference report is supported in agreement.</w:t>
      </w:r>
    </w:p>
    <w:p>
      <w:pPr>
        <w:numPr>
          <w:ilvl w:val="255"/>
          <w:numId w:val="0"/>
        </w:numPr>
        <w:rPr>
          <w:rFonts w:hAnsi="Cambria Math" w:cs="Arial"/>
          <w:i/>
          <w:iCs/>
          <w:color w:val="000000" w:themeColor="text1"/>
          <w:lang w:val="en-US" w:eastAsia="zh-CN"/>
          <w14:textFill>
            <w14:solidFill>
              <w14:schemeClr w14:val="tx1"/>
            </w14:solidFill>
          </w14:textFill>
        </w:rPr>
      </w:pPr>
      <w:r>
        <w:rPr>
          <w:rFonts w:hint="eastAsia" w:hAnsi="Cambria Math" w:cs="Arial"/>
          <w:b/>
          <w:bCs/>
          <w:color w:val="000000" w:themeColor="text1"/>
          <w:lang w:val="en-US" w:eastAsia="zh-CN"/>
          <w14:textFill>
            <w14:solidFill>
              <w14:schemeClr w14:val="tx1"/>
            </w14:solidFill>
          </w14:textFill>
        </w:rPr>
        <w:t>Proposal 2:</w:t>
      </w:r>
      <w:r>
        <w:rPr>
          <w:rFonts w:hint="eastAsia" w:hAnsi="Cambria Math" w:cs="Arial"/>
          <w:b/>
          <w:bCs/>
          <w:i/>
          <w:iCs/>
          <w:color w:val="000000" w:themeColor="text1"/>
          <w:lang w:val="en-US" w:eastAsia="zh-CN"/>
          <w14:textFill>
            <w14:solidFill>
              <w14:schemeClr w14:val="tx1"/>
            </w14:solidFill>
          </w14:textFill>
        </w:rPr>
        <w:t xml:space="preserve"> </w:t>
      </w:r>
      <w:r>
        <w:rPr>
          <w:rFonts w:hAnsi="Cambria Math" w:cs="Arial"/>
          <w:color w:val="000000" w:themeColor="text1"/>
          <w:lang w:val="en-US" w:eastAsia="zh-CN"/>
          <w14:textFill>
            <w14:solidFill>
              <w14:schemeClr w14:val="tx1"/>
            </w14:solidFill>
          </w14:textFill>
        </w:rPr>
        <w:t>Further</w:t>
      </w:r>
      <w:r>
        <w:rPr>
          <w:rFonts w:hint="eastAsia" w:hAnsi="Cambria Math" w:cs="Arial"/>
          <w:color w:val="000000" w:themeColor="text1"/>
          <w:lang w:val="en-US" w:eastAsia="zh-CN"/>
          <w14:textFill>
            <w14:solidFill>
              <w14:schemeClr w14:val="tx1"/>
            </w14:solidFill>
          </w14:textFill>
        </w:rPr>
        <w:t xml:space="preserve"> study and discuss the specification support for monitoring report associated with SP inference report.</w:t>
      </w:r>
    </w:p>
    <w:p>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R</w:t>
      </w:r>
      <w:r>
        <w:rPr>
          <w:color w:val="000000" w:themeColor="text1"/>
          <w14:textFill>
            <w14:solidFill>
              <w14:schemeClr w14:val="tx1"/>
            </w14:solidFill>
          </w14:textFill>
        </w:rPr>
        <w:t>eference</w:t>
      </w:r>
    </w:p>
    <w:p>
      <w:pPr>
        <w:numPr>
          <w:ilvl w:val="0"/>
          <w:numId w:val="25"/>
        </w:numPr>
        <w:jc w:val="left"/>
        <w:rPr>
          <w:rFonts w:eastAsiaTheme="minorEastAsia"/>
          <w:lang w:eastAsia="zh-CN"/>
        </w:rPr>
      </w:pPr>
      <w:r>
        <w:rPr>
          <w:rFonts w:hint="eastAsia" w:eastAsiaTheme="minorEastAsia"/>
          <w:lang w:val="en-US" w:eastAsia="zh-CN"/>
        </w:rPr>
        <w:t>R1-</w:t>
      </w:r>
      <w:r>
        <w:rPr>
          <w:rFonts w:hint="eastAsia"/>
          <w:lang w:val="en-US" w:eastAsia="zh-CN"/>
        </w:rPr>
        <w:t>2503139</w:t>
      </w:r>
      <w:r>
        <w:rPr>
          <w:rFonts w:hint="eastAsia" w:eastAsiaTheme="minorEastAsia"/>
          <w:lang w:val="en-US" w:eastAsia="zh-CN"/>
        </w:rPr>
        <w:t>, Summary#5 of 9.1.3, RAN1#120b.</w:t>
      </w:r>
    </w:p>
    <w:p>
      <w:pPr>
        <w:numPr>
          <w:ilvl w:val="0"/>
          <w:numId w:val="25"/>
        </w:numPr>
        <w:jc w:val="left"/>
        <w:rPr>
          <w:rFonts w:eastAsiaTheme="minorEastAsia"/>
          <w:lang w:eastAsia="zh-CN"/>
        </w:rPr>
      </w:pPr>
      <w:r>
        <w:rPr>
          <w:rFonts w:hint="eastAsia" w:eastAsiaTheme="minorEastAsia"/>
          <w:lang w:val="en-US" w:eastAsia="zh-CN"/>
        </w:rPr>
        <w:t>R1-2504939, Summary#6 of 9.1.3, RAN1#121.</w:t>
      </w:r>
    </w:p>
    <w:p>
      <w:pPr>
        <w:numPr>
          <w:ilvl w:val="0"/>
          <w:numId w:val="25"/>
        </w:numPr>
        <w:spacing w:after="0"/>
        <w:jc w:val="left"/>
      </w:pPr>
      <w:r>
        <w:rPr>
          <w:rFonts w:hint="eastAsia" w:eastAsiaTheme="minorEastAsia"/>
          <w:lang w:val="en-US" w:eastAsia="zh-CN"/>
        </w:rPr>
        <w:t>3GPP TS 38.214 V19.0.0, Physical layer procedures for data (Release 19).</w:t>
      </w:r>
    </w:p>
    <w:sectPr>
      <w:footerReference r:id="rId4" w:type="firs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libri">
    <w:panose1 w:val="020F0502020204030204"/>
    <w:charset w:val="00"/>
    <w:family w:val="swiss"/>
    <w:pitch w:val="default"/>
    <w:sig w:usb0="E0002EFF" w:usb1="C000247B" w:usb2="00000009" w:usb3="00000000" w:csb0="200001FF" w:csb1="00000000"/>
  </w:font>
  <w:font w:name="MS Mincho">
    <w:altName w:val="Yu Gothic"/>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New York">
    <w:altName w:val="Tahoma"/>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7931086"/>
    </w:sdtPr>
    <w:sdtEndPr>
      <w:rPr>
        <w:sz w:val="11"/>
      </w:rPr>
    </w:sdtEndPr>
    <w:sdtContent>
      <w:sdt>
        <w:sdtPr>
          <w:id w:val="-1769616900"/>
        </w:sdtPr>
        <w:sdtEndPr>
          <w:rPr>
            <w:sz w:val="11"/>
          </w:rPr>
        </w:sdtEndPr>
        <w:sdtContent>
          <w:p>
            <w:pPr>
              <w:pStyle w:val="37"/>
              <w:jc w:val="right"/>
              <w:rPr>
                <w:sz w:val="11"/>
              </w:rPr>
            </w:pPr>
            <w:r>
              <w:rPr>
                <w:sz w:val="11"/>
                <w:lang w:val="zh-CN" w:eastAsia="zh-CN"/>
              </w:rPr>
              <w:t xml:space="preserve"> </w:t>
            </w:r>
            <w:r>
              <w:rPr>
                <w:bCs/>
                <w:sz w:val="16"/>
                <w:szCs w:val="24"/>
              </w:rPr>
              <w:fldChar w:fldCharType="begin"/>
            </w:r>
            <w:r>
              <w:rPr>
                <w:bCs/>
                <w:sz w:val="11"/>
              </w:rPr>
              <w:instrText xml:space="preserve">PAGE</w:instrText>
            </w:r>
            <w:r>
              <w:rPr>
                <w:bCs/>
                <w:sz w:val="16"/>
                <w:szCs w:val="24"/>
              </w:rPr>
              <w:fldChar w:fldCharType="separate"/>
            </w:r>
            <w:r>
              <w:rPr>
                <w:bCs/>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 xml:space="preserve">NUMPAGES</w:instrText>
            </w:r>
            <w:r>
              <w:rPr>
                <w:bCs/>
                <w:sz w:val="16"/>
                <w:szCs w:val="24"/>
              </w:rPr>
              <w:fldChar w:fldCharType="separate"/>
            </w:r>
            <w:r>
              <w:rPr>
                <w:bCs/>
                <w:sz w:val="11"/>
              </w:rPr>
              <w:t>2</w:t>
            </w:r>
            <w:r>
              <w:rPr>
                <w:bCs/>
                <w:sz w:val="16"/>
                <w:szCs w:val="24"/>
              </w:rPr>
              <w:fldChar w:fldCharType="end"/>
            </w:r>
          </w:p>
        </w:sdtContent>
      </w:sdt>
    </w:sdtContent>
  </w:sdt>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5471EB2"/>
    <w:multiLevelType w:val="multilevel"/>
    <w:tmpl w:val="05471EB2"/>
    <w:lvl w:ilvl="0" w:tentative="0">
      <w:start w:val="5"/>
      <w:numFmt w:val="bullet"/>
      <w:lvlText w:val=""/>
      <w:lvlJc w:val="left"/>
      <w:pPr>
        <w:tabs>
          <w:tab w:val="left" w:pos="0"/>
        </w:tabs>
        <w:ind w:left="800" w:hanging="400"/>
      </w:pPr>
      <w:rPr>
        <w:rFonts w:hint="default" w:ascii="Symbol" w:hAnsi="Symbol" w:cs="Symbol"/>
      </w:rPr>
    </w:lvl>
    <w:lvl w:ilvl="1" w:tentative="0">
      <w:start w:val="1"/>
      <w:numFmt w:val="bullet"/>
      <w:lvlText w:val="o"/>
      <w:lvlJc w:val="left"/>
      <w:pPr>
        <w:tabs>
          <w:tab w:val="left" w:pos="0"/>
        </w:tabs>
        <w:ind w:left="1200" w:hanging="400"/>
      </w:pPr>
      <w:rPr>
        <w:rFonts w:hint="default" w:ascii="Courier New" w:hAnsi="Courier New" w:cs="Courier New"/>
      </w:rPr>
    </w:lvl>
    <w:lvl w:ilvl="2" w:tentative="0">
      <w:start w:val="0"/>
      <w:numFmt w:val="bullet"/>
      <w:lvlText w:val="-"/>
      <w:lvlJc w:val="left"/>
      <w:pPr>
        <w:tabs>
          <w:tab w:val="left" w:pos="0"/>
        </w:tabs>
        <w:ind w:left="1600" w:hanging="400"/>
      </w:pPr>
      <w:rPr>
        <w:rFonts w:hint="default" w:ascii="Times" w:hAnsi="Times" w:cs="Time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2">
    <w:nsid w:val="08B06D21"/>
    <w:multiLevelType w:val="multilevel"/>
    <w:tmpl w:val="08B06D21"/>
    <w:lvl w:ilvl="0" w:tentative="0">
      <w:start w:val="1"/>
      <w:numFmt w:val="decimal"/>
      <w:lvlText w:val="[%1] "/>
      <w:lvlJc w:val="left"/>
      <w:pPr>
        <w:tabs>
          <w:tab w:val="left" w:pos="420"/>
        </w:tabs>
        <w:ind w:left="840" w:hanging="420"/>
      </w:pPr>
      <w:rPr>
        <w:rFonts w:hint="eastAsia"/>
      </w:rPr>
    </w:lvl>
    <w:lvl w:ilvl="1" w:tentative="0">
      <w:start w:val="1"/>
      <w:numFmt w:val="lowerLetter"/>
      <w:lvlText w:val="%2)"/>
      <w:lvlJc w:val="left"/>
      <w:pPr>
        <w:tabs>
          <w:tab w:val="left" w:pos="420"/>
        </w:tabs>
        <w:ind w:left="1260" w:hanging="420"/>
      </w:pPr>
    </w:lvl>
    <w:lvl w:ilvl="2" w:tentative="0">
      <w:start w:val="1"/>
      <w:numFmt w:val="lowerRoman"/>
      <w:lvlText w:val="%3."/>
      <w:lvlJc w:val="right"/>
      <w:pPr>
        <w:tabs>
          <w:tab w:val="left" w:pos="420"/>
        </w:tabs>
        <w:ind w:left="1680" w:hanging="420"/>
      </w:pPr>
    </w:lvl>
    <w:lvl w:ilvl="3" w:tentative="0">
      <w:start w:val="1"/>
      <w:numFmt w:val="decimal"/>
      <w:lvlText w:val="%4."/>
      <w:lvlJc w:val="left"/>
      <w:pPr>
        <w:tabs>
          <w:tab w:val="left" w:pos="420"/>
        </w:tabs>
        <w:ind w:left="2100" w:hanging="420"/>
      </w:pPr>
    </w:lvl>
    <w:lvl w:ilvl="4" w:tentative="0">
      <w:start w:val="1"/>
      <w:numFmt w:val="lowerLetter"/>
      <w:lvlText w:val="%5)"/>
      <w:lvlJc w:val="left"/>
      <w:pPr>
        <w:tabs>
          <w:tab w:val="left" w:pos="420"/>
        </w:tabs>
        <w:ind w:left="2520" w:hanging="420"/>
      </w:pPr>
    </w:lvl>
    <w:lvl w:ilvl="5" w:tentative="0">
      <w:start w:val="1"/>
      <w:numFmt w:val="lowerRoman"/>
      <w:lvlText w:val="%6."/>
      <w:lvlJc w:val="right"/>
      <w:pPr>
        <w:tabs>
          <w:tab w:val="left" w:pos="420"/>
        </w:tabs>
        <w:ind w:left="2940" w:hanging="420"/>
      </w:pPr>
    </w:lvl>
    <w:lvl w:ilvl="6" w:tentative="0">
      <w:start w:val="1"/>
      <w:numFmt w:val="decimal"/>
      <w:lvlText w:val="%7."/>
      <w:lvlJc w:val="left"/>
      <w:pPr>
        <w:tabs>
          <w:tab w:val="left" w:pos="420"/>
        </w:tabs>
        <w:ind w:left="3360" w:hanging="420"/>
      </w:pPr>
    </w:lvl>
    <w:lvl w:ilvl="7" w:tentative="0">
      <w:start w:val="1"/>
      <w:numFmt w:val="lowerLetter"/>
      <w:lvlText w:val="%8)"/>
      <w:lvlJc w:val="left"/>
      <w:pPr>
        <w:tabs>
          <w:tab w:val="left" w:pos="420"/>
        </w:tabs>
        <w:ind w:left="3780" w:hanging="420"/>
      </w:pPr>
    </w:lvl>
    <w:lvl w:ilvl="8" w:tentative="0">
      <w:start w:val="1"/>
      <w:numFmt w:val="lowerRoman"/>
      <w:lvlText w:val="%9."/>
      <w:lvlJc w:val="right"/>
      <w:pPr>
        <w:tabs>
          <w:tab w:val="left" w:pos="420"/>
        </w:tabs>
        <w:ind w:left="4200" w:hanging="420"/>
      </w:pPr>
    </w:lvl>
  </w:abstractNum>
  <w:abstractNum w:abstractNumId="3">
    <w:nsid w:val="08D61C6C"/>
    <w:multiLevelType w:val="singleLevel"/>
    <w:tmpl w:val="08D61C6C"/>
    <w:lvl w:ilvl="0" w:tentative="0">
      <w:start w:val="1"/>
      <w:numFmt w:val="bullet"/>
      <w:lvlText w:val="•"/>
      <w:lvlJc w:val="left"/>
      <w:pPr>
        <w:ind w:left="420" w:hanging="420"/>
      </w:pPr>
      <w:rPr>
        <w:rFonts w:hint="default" w:ascii="Arial" w:hAnsi="Arial" w:cs="Arial"/>
      </w:rPr>
    </w:lvl>
  </w:abstractNum>
  <w:abstractNum w:abstractNumId="4">
    <w:nsid w:val="15F505D4"/>
    <w:multiLevelType w:val="multilevel"/>
    <w:tmpl w:val="15F505D4"/>
    <w:lvl w:ilvl="0" w:tentative="0">
      <w:start w:val="1"/>
      <w:numFmt w:val="decimal"/>
      <w:pStyle w:val="6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B0A1344"/>
    <w:multiLevelType w:val="singleLevel"/>
    <w:tmpl w:val="1B0A1344"/>
    <w:lvl w:ilvl="0" w:tentative="0">
      <w:start w:val="1"/>
      <w:numFmt w:val="bullet"/>
      <w:pStyle w:val="64"/>
      <w:lvlText w:val=""/>
      <w:lvlJc w:val="left"/>
      <w:pPr>
        <w:tabs>
          <w:tab w:val="left" w:pos="0"/>
        </w:tabs>
        <w:ind w:left="1728" w:hanging="288"/>
      </w:pPr>
      <w:rPr>
        <w:rFonts w:hint="default" w:ascii="Monotype Sorts" w:hAnsi="Monotype Sorts"/>
      </w:rPr>
    </w:lvl>
  </w:abstractNum>
  <w:abstractNum w:abstractNumId="6">
    <w:nsid w:val="23D67B9A"/>
    <w:multiLevelType w:val="multilevel"/>
    <w:tmpl w:val="23D67B9A"/>
    <w:lvl w:ilvl="0" w:tentative="0">
      <w:start w:val="1"/>
      <w:numFmt w:val="decimal"/>
      <w:pStyle w:val="205"/>
      <w:suff w:val="space"/>
      <w:lvlText w:val="Proposal %1:"/>
      <w:lvlJc w:val="left"/>
      <w:pPr>
        <w:ind w:left="0" w:firstLine="0"/>
      </w:pPr>
      <w:rPr>
        <w:strike w:val="0"/>
      </w:rPr>
    </w:lvl>
    <w:lvl w:ilvl="1" w:tentative="0">
      <w:start w:val="1"/>
      <w:numFmt w:val="bullet"/>
      <w:lvlText w:val=""/>
      <w:lvlJc w:val="left"/>
      <w:pPr>
        <w:ind w:left="-3532" w:hanging="360"/>
      </w:pPr>
      <w:rPr>
        <w:rFonts w:hint="default" w:ascii="Symbol" w:hAnsi="Symbol"/>
      </w:rPr>
    </w:lvl>
    <w:lvl w:ilvl="2" w:tentative="0">
      <w:start w:val="1"/>
      <w:numFmt w:val="lowerRoman"/>
      <w:lvlText w:val="%3)"/>
      <w:lvlJc w:val="left"/>
      <w:pPr>
        <w:ind w:left="-3172" w:hanging="360"/>
      </w:pPr>
    </w:lvl>
    <w:lvl w:ilvl="3" w:tentative="0">
      <w:start w:val="1"/>
      <w:numFmt w:val="decimal"/>
      <w:lvlText w:val="(%4)"/>
      <w:lvlJc w:val="left"/>
      <w:pPr>
        <w:ind w:left="-2812" w:hanging="360"/>
      </w:pPr>
    </w:lvl>
    <w:lvl w:ilvl="4" w:tentative="0">
      <w:start w:val="1"/>
      <w:numFmt w:val="lowerLetter"/>
      <w:lvlText w:val="(%5)"/>
      <w:lvlJc w:val="left"/>
      <w:pPr>
        <w:ind w:left="-2452" w:hanging="360"/>
      </w:pPr>
    </w:lvl>
    <w:lvl w:ilvl="5" w:tentative="0">
      <w:start w:val="1"/>
      <w:numFmt w:val="lowerRoman"/>
      <w:lvlText w:val="(%6)"/>
      <w:lvlJc w:val="left"/>
      <w:pPr>
        <w:ind w:left="-2092" w:hanging="360"/>
      </w:pPr>
    </w:lvl>
    <w:lvl w:ilvl="6" w:tentative="0">
      <w:start w:val="1"/>
      <w:numFmt w:val="decimal"/>
      <w:lvlText w:val="%7."/>
      <w:lvlJc w:val="left"/>
      <w:pPr>
        <w:ind w:left="-1732" w:hanging="360"/>
      </w:pPr>
    </w:lvl>
    <w:lvl w:ilvl="7" w:tentative="0">
      <w:start w:val="1"/>
      <w:numFmt w:val="lowerLetter"/>
      <w:lvlText w:val="%8."/>
      <w:lvlJc w:val="left"/>
      <w:pPr>
        <w:ind w:left="-1372" w:hanging="360"/>
      </w:pPr>
    </w:lvl>
    <w:lvl w:ilvl="8" w:tentative="0">
      <w:start w:val="1"/>
      <w:numFmt w:val="lowerRoman"/>
      <w:lvlText w:val="%9."/>
      <w:lvlJc w:val="left"/>
      <w:pPr>
        <w:ind w:left="-1012" w:hanging="360"/>
      </w:pPr>
    </w:lvl>
  </w:abstractNum>
  <w:abstractNum w:abstractNumId="7">
    <w:nsid w:val="2CC7125C"/>
    <w:multiLevelType w:val="singleLevel"/>
    <w:tmpl w:val="2CC7125C"/>
    <w:lvl w:ilvl="0" w:tentative="0">
      <w:start w:val="1"/>
      <w:numFmt w:val="bullet"/>
      <w:pStyle w:val="129"/>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33524BA"/>
    <w:multiLevelType w:val="multilevel"/>
    <w:tmpl w:val="333524BA"/>
    <w:lvl w:ilvl="0" w:tentative="0">
      <w:start w:val="1"/>
      <w:numFmt w:val="decimal"/>
      <w:pStyle w:val="163"/>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1">
    <w:nsid w:val="41CA2C26"/>
    <w:multiLevelType w:val="singleLevel"/>
    <w:tmpl w:val="41CA2C26"/>
    <w:lvl w:ilvl="0" w:tentative="0">
      <w:start w:val="1"/>
      <w:numFmt w:val="bullet"/>
      <w:pStyle w:val="62"/>
      <w:lvlText w:val=""/>
      <w:lvlJc w:val="left"/>
      <w:pPr>
        <w:tabs>
          <w:tab w:val="left" w:pos="360"/>
        </w:tabs>
        <w:ind w:left="360" w:hanging="360"/>
      </w:pPr>
      <w:rPr>
        <w:rFonts w:hint="default" w:ascii="Webdings" w:hAnsi="Webdings"/>
      </w:rPr>
    </w:lvl>
  </w:abstractNum>
  <w:abstractNum w:abstractNumId="12">
    <w:nsid w:val="508D598B"/>
    <w:multiLevelType w:val="singleLevel"/>
    <w:tmpl w:val="508D598B"/>
    <w:lvl w:ilvl="0" w:tentative="0">
      <w:start w:val="1"/>
      <w:numFmt w:val="bullet"/>
      <w:lvlText w:val="•"/>
      <w:lvlJc w:val="left"/>
      <w:pPr>
        <w:ind w:left="420" w:hanging="420"/>
      </w:pPr>
      <w:rPr>
        <w:rFonts w:hint="default" w:ascii="Arial" w:hAnsi="Arial" w:cs="Arial"/>
      </w:rPr>
    </w:lvl>
  </w:abstractNum>
  <w:abstractNum w:abstractNumId="13">
    <w:nsid w:val="54713D2C"/>
    <w:multiLevelType w:val="singleLevel"/>
    <w:tmpl w:val="54713D2C"/>
    <w:lvl w:ilvl="0" w:tentative="0">
      <w:start w:val="1"/>
      <w:numFmt w:val="bullet"/>
      <w:pStyle w:val="201"/>
      <w:lvlText w:val="•"/>
      <w:lvlJc w:val="left"/>
      <w:pPr>
        <w:ind w:left="420" w:hanging="420"/>
      </w:pPr>
      <w:rPr>
        <w:rFonts w:hint="default" w:ascii="Arial" w:hAnsi="Arial" w:cs="Arial"/>
      </w:rPr>
    </w:lvl>
  </w:abstractNum>
  <w:abstractNum w:abstractNumId="14">
    <w:nsid w:val="549A69FD"/>
    <w:multiLevelType w:val="multilevel"/>
    <w:tmpl w:val="549A69FD"/>
    <w:lvl w:ilvl="0" w:tentative="0">
      <w:start w:val="5"/>
      <w:numFmt w:val="decimal"/>
      <w:pStyle w:val="6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5">
    <w:nsid w:val="5D763755"/>
    <w:multiLevelType w:val="multilevel"/>
    <w:tmpl w:val="5D763755"/>
    <w:lvl w:ilvl="0" w:tentative="0">
      <w:start w:val="1"/>
      <w:numFmt w:val="decimal"/>
      <w:pStyle w:val="199"/>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EE546C8"/>
    <w:multiLevelType w:val="multilevel"/>
    <w:tmpl w:val="5EE546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1F003CC"/>
    <w:multiLevelType w:val="multilevel"/>
    <w:tmpl w:val="61F003CC"/>
    <w:lvl w:ilvl="0" w:tentative="0">
      <w:start w:val="1"/>
      <w:numFmt w:val="decimal"/>
      <w:pStyle w:val="162"/>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3690C9E"/>
    <w:multiLevelType w:val="singleLevel"/>
    <w:tmpl w:val="63690C9E"/>
    <w:lvl w:ilvl="0" w:tentative="0">
      <w:start w:val="1"/>
      <w:numFmt w:val="bullet"/>
      <w:pStyle w:val="61"/>
      <w:lvlText w:val=""/>
      <w:lvlJc w:val="left"/>
      <w:pPr>
        <w:tabs>
          <w:tab w:val="left" w:pos="360"/>
        </w:tabs>
        <w:ind w:left="360" w:hanging="360"/>
      </w:pPr>
      <w:rPr>
        <w:rFonts w:hint="default" w:ascii="Wingdings" w:hAnsi="Wingdings"/>
      </w:rPr>
    </w:lvl>
  </w:abstractNum>
  <w:abstractNum w:abstractNumId="19">
    <w:nsid w:val="70110F9F"/>
    <w:multiLevelType w:val="multilevel"/>
    <w:tmpl w:val="70110F9F"/>
    <w:lvl w:ilvl="0" w:tentative="0">
      <w:start w:val="1"/>
      <w:numFmt w:val="decimal"/>
      <w:pStyle w:val="198"/>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20">
    <w:nsid w:val="70146DC0"/>
    <w:multiLevelType w:val="multilevel"/>
    <w:tmpl w:val="70146DC0"/>
    <w:lvl w:ilvl="0" w:tentative="0">
      <w:start w:val="1"/>
      <w:numFmt w:val="bullet"/>
      <w:pStyle w:val="18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8DB4C02"/>
    <w:multiLevelType w:val="multilevel"/>
    <w:tmpl w:val="78DB4C02"/>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2">
    <w:nsid w:val="79C41A82"/>
    <w:multiLevelType w:val="multilevel"/>
    <w:tmpl w:val="79C41A82"/>
    <w:lvl w:ilvl="0" w:tentative="0">
      <w:start w:val="1"/>
      <w:numFmt w:val="decimal"/>
      <w:pStyle w:val="165"/>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BB2217D"/>
    <w:multiLevelType w:val="multilevel"/>
    <w:tmpl w:val="7BB2217D"/>
    <w:lvl w:ilvl="0" w:tentative="0">
      <w:start w:val="1"/>
      <w:numFmt w:val="decimal"/>
      <w:pStyle w:val="155"/>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DC436CD"/>
    <w:multiLevelType w:val="singleLevel"/>
    <w:tmpl w:val="7DC436CD"/>
    <w:lvl w:ilvl="0" w:tentative="0">
      <w:start w:val="1"/>
      <w:numFmt w:val="bullet"/>
      <w:pStyle w:val="200"/>
      <w:lvlText w:val="•"/>
      <w:lvlJc w:val="left"/>
      <w:pPr>
        <w:tabs>
          <w:tab w:val="left" w:pos="420"/>
        </w:tabs>
        <w:ind w:left="420" w:hanging="378"/>
      </w:pPr>
      <w:rPr>
        <w:rFonts w:hint="default" w:ascii="Arial" w:hAnsi="Arial" w:cs="Arial"/>
      </w:rPr>
    </w:lvl>
  </w:abstractNum>
  <w:num w:numId="1">
    <w:abstractNumId w:val="10"/>
  </w:num>
  <w:num w:numId="2">
    <w:abstractNumId w:val="8"/>
  </w:num>
  <w:num w:numId="3">
    <w:abstractNumId w:val="18"/>
  </w:num>
  <w:num w:numId="4">
    <w:abstractNumId w:val="11"/>
  </w:num>
  <w:num w:numId="5">
    <w:abstractNumId w:val="14"/>
  </w:num>
  <w:num w:numId="6">
    <w:abstractNumId w:val="5"/>
  </w:num>
  <w:num w:numId="7">
    <w:abstractNumId w:val="4"/>
  </w:num>
  <w:num w:numId="8">
    <w:abstractNumId w:val="7"/>
  </w:num>
  <w:num w:numId="9">
    <w:abstractNumId w:val="23"/>
  </w:num>
  <w:num w:numId="10">
    <w:abstractNumId w:val="17"/>
  </w:num>
  <w:num w:numId="11">
    <w:abstractNumId w:val="9"/>
  </w:num>
  <w:num w:numId="12">
    <w:abstractNumId w:val="22"/>
  </w:num>
  <w:num w:numId="13">
    <w:abstractNumId w:val="20"/>
  </w:num>
  <w:num w:numId="14">
    <w:abstractNumId w:val="0"/>
    <w:lvlOverride w:ilvl="0">
      <w:lvl w:ilvl="0" w:tentative="1">
        <w:start w:val="1"/>
        <w:numFmt w:val="bullet"/>
        <w:pStyle w:val="186"/>
        <w:lvlText w:val=""/>
        <w:legacy w:legacy="1" w:legacySpace="0" w:legacyIndent="360"/>
        <w:lvlJc w:val="left"/>
        <w:pPr>
          <w:ind w:left="360" w:hanging="360"/>
        </w:pPr>
        <w:rPr>
          <w:rFonts w:hint="default" w:ascii="Symbol" w:hAnsi="Symbol"/>
        </w:rPr>
      </w:lvl>
    </w:lvlOverride>
  </w:num>
  <w:num w:numId="15">
    <w:abstractNumId w:val="19"/>
  </w:num>
  <w:num w:numId="16">
    <w:abstractNumId w:val="15"/>
  </w:num>
  <w:num w:numId="17">
    <w:abstractNumId w:val="24"/>
  </w:num>
  <w:num w:numId="18">
    <w:abstractNumId w:val="13"/>
  </w:num>
  <w:num w:numId="19">
    <w:abstractNumId w:val="6"/>
  </w:num>
  <w:num w:numId="20">
    <w:abstractNumId w:val="1"/>
  </w:num>
  <w:num w:numId="21">
    <w:abstractNumId w:val="21"/>
  </w:num>
  <w:num w:numId="22">
    <w:abstractNumId w:val="16"/>
  </w:num>
  <w:num w:numId="23">
    <w:abstractNumId w:val="3"/>
  </w:num>
  <w:num w:numId="24">
    <w:abstractNumId w:val="1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trackRevision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58A4"/>
    <w:rsid w:val="000060D2"/>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559"/>
    <w:rsid w:val="00027160"/>
    <w:rsid w:val="00030143"/>
    <w:rsid w:val="000308AC"/>
    <w:rsid w:val="00031166"/>
    <w:rsid w:val="000316CC"/>
    <w:rsid w:val="000323A4"/>
    <w:rsid w:val="000326A4"/>
    <w:rsid w:val="00034973"/>
    <w:rsid w:val="00034CFD"/>
    <w:rsid w:val="0003567D"/>
    <w:rsid w:val="00036F07"/>
    <w:rsid w:val="00037248"/>
    <w:rsid w:val="0003769F"/>
    <w:rsid w:val="00040A76"/>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66B34"/>
    <w:rsid w:val="00070634"/>
    <w:rsid w:val="0007132C"/>
    <w:rsid w:val="000729EB"/>
    <w:rsid w:val="000737AC"/>
    <w:rsid w:val="00074406"/>
    <w:rsid w:val="00076093"/>
    <w:rsid w:val="0007663C"/>
    <w:rsid w:val="00076BAB"/>
    <w:rsid w:val="00077DDF"/>
    <w:rsid w:val="00080CFB"/>
    <w:rsid w:val="0008144E"/>
    <w:rsid w:val="00082AF1"/>
    <w:rsid w:val="0008324D"/>
    <w:rsid w:val="0008367D"/>
    <w:rsid w:val="000876FA"/>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C95"/>
    <w:rsid w:val="000D2272"/>
    <w:rsid w:val="000D2802"/>
    <w:rsid w:val="000D2DFE"/>
    <w:rsid w:val="000D38C8"/>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8CF"/>
    <w:rsid w:val="00116D2F"/>
    <w:rsid w:val="001175FA"/>
    <w:rsid w:val="00117B1B"/>
    <w:rsid w:val="001206A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374B9"/>
    <w:rsid w:val="0014003F"/>
    <w:rsid w:val="001400AF"/>
    <w:rsid w:val="0014142A"/>
    <w:rsid w:val="0014330B"/>
    <w:rsid w:val="0014379C"/>
    <w:rsid w:val="001445D0"/>
    <w:rsid w:val="0014490E"/>
    <w:rsid w:val="00145B77"/>
    <w:rsid w:val="0014661B"/>
    <w:rsid w:val="00147345"/>
    <w:rsid w:val="00147D6E"/>
    <w:rsid w:val="00150CAC"/>
    <w:rsid w:val="00152493"/>
    <w:rsid w:val="00152A9D"/>
    <w:rsid w:val="00154015"/>
    <w:rsid w:val="0015536F"/>
    <w:rsid w:val="001573AA"/>
    <w:rsid w:val="00162694"/>
    <w:rsid w:val="00162714"/>
    <w:rsid w:val="00162CFF"/>
    <w:rsid w:val="00162D5A"/>
    <w:rsid w:val="001651B7"/>
    <w:rsid w:val="001659B3"/>
    <w:rsid w:val="0016738B"/>
    <w:rsid w:val="00167C5C"/>
    <w:rsid w:val="0017183B"/>
    <w:rsid w:val="0017186F"/>
    <w:rsid w:val="00175F03"/>
    <w:rsid w:val="00177469"/>
    <w:rsid w:val="0018006A"/>
    <w:rsid w:val="001800F8"/>
    <w:rsid w:val="001802C2"/>
    <w:rsid w:val="001819A8"/>
    <w:rsid w:val="00182C35"/>
    <w:rsid w:val="001830AD"/>
    <w:rsid w:val="00183DBB"/>
    <w:rsid w:val="00185D60"/>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1EB8"/>
    <w:rsid w:val="001D2014"/>
    <w:rsid w:val="001D2DAE"/>
    <w:rsid w:val="001D3C86"/>
    <w:rsid w:val="001D3CEA"/>
    <w:rsid w:val="001E2681"/>
    <w:rsid w:val="001E3982"/>
    <w:rsid w:val="001E3A50"/>
    <w:rsid w:val="001E3DCA"/>
    <w:rsid w:val="001E5805"/>
    <w:rsid w:val="001E5D50"/>
    <w:rsid w:val="001F0BF2"/>
    <w:rsid w:val="001F0D5E"/>
    <w:rsid w:val="001F0F9D"/>
    <w:rsid w:val="001F142E"/>
    <w:rsid w:val="001F24F1"/>
    <w:rsid w:val="001F288E"/>
    <w:rsid w:val="001F371D"/>
    <w:rsid w:val="001F512C"/>
    <w:rsid w:val="001F5A63"/>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7DC3"/>
    <w:rsid w:val="00227F2B"/>
    <w:rsid w:val="00231145"/>
    <w:rsid w:val="002313C8"/>
    <w:rsid w:val="00232DD6"/>
    <w:rsid w:val="00233765"/>
    <w:rsid w:val="00233803"/>
    <w:rsid w:val="002342F4"/>
    <w:rsid w:val="00236B17"/>
    <w:rsid w:val="00236B3C"/>
    <w:rsid w:val="002373B7"/>
    <w:rsid w:val="00237B18"/>
    <w:rsid w:val="002400EC"/>
    <w:rsid w:val="002408EE"/>
    <w:rsid w:val="00240C59"/>
    <w:rsid w:val="00240ECB"/>
    <w:rsid w:val="00241E36"/>
    <w:rsid w:val="0024207B"/>
    <w:rsid w:val="002433F2"/>
    <w:rsid w:val="0025290B"/>
    <w:rsid w:val="00252CDF"/>
    <w:rsid w:val="00252E08"/>
    <w:rsid w:val="00254027"/>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5A85"/>
    <w:rsid w:val="00285B07"/>
    <w:rsid w:val="00287387"/>
    <w:rsid w:val="00290166"/>
    <w:rsid w:val="002903D4"/>
    <w:rsid w:val="002904DA"/>
    <w:rsid w:val="00291808"/>
    <w:rsid w:val="00291DD6"/>
    <w:rsid w:val="00291E60"/>
    <w:rsid w:val="00293176"/>
    <w:rsid w:val="00294000"/>
    <w:rsid w:val="00294258"/>
    <w:rsid w:val="002953F8"/>
    <w:rsid w:val="002954F3"/>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1AE6"/>
    <w:rsid w:val="00302C5F"/>
    <w:rsid w:val="00303844"/>
    <w:rsid w:val="00303888"/>
    <w:rsid w:val="00303F8D"/>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2DE5"/>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34"/>
    <w:rsid w:val="003E596A"/>
    <w:rsid w:val="003E5EA9"/>
    <w:rsid w:val="003E6475"/>
    <w:rsid w:val="003E752F"/>
    <w:rsid w:val="003F12F6"/>
    <w:rsid w:val="003F32A2"/>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2D0"/>
    <w:rsid w:val="00413DA3"/>
    <w:rsid w:val="004149E4"/>
    <w:rsid w:val="0041561C"/>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49AF"/>
    <w:rsid w:val="00436072"/>
    <w:rsid w:val="00436E0D"/>
    <w:rsid w:val="0043752B"/>
    <w:rsid w:val="00440832"/>
    <w:rsid w:val="00441E38"/>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164B"/>
    <w:rsid w:val="0046244C"/>
    <w:rsid w:val="00462FD2"/>
    <w:rsid w:val="004634EC"/>
    <w:rsid w:val="00463A8F"/>
    <w:rsid w:val="004648EC"/>
    <w:rsid w:val="00465B0E"/>
    <w:rsid w:val="004661D9"/>
    <w:rsid w:val="00466B2E"/>
    <w:rsid w:val="004672A7"/>
    <w:rsid w:val="00467B61"/>
    <w:rsid w:val="00467C0A"/>
    <w:rsid w:val="004707BD"/>
    <w:rsid w:val="004713BE"/>
    <w:rsid w:val="00471A2C"/>
    <w:rsid w:val="00472CA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4F7F4C"/>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A00"/>
    <w:rsid w:val="00524CBD"/>
    <w:rsid w:val="00525873"/>
    <w:rsid w:val="00526C4A"/>
    <w:rsid w:val="00530023"/>
    <w:rsid w:val="005322DB"/>
    <w:rsid w:val="00533AEA"/>
    <w:rsid w:val="00533BDB"/>
    <w:rsid w:val="00534090"/>
    <w:rsid w:val="00534A37"/>
    <w:rsid w:val="00536BD6"/>
    <w:rsid w:val="0053729D"/>
    <w:rsid w:val="005401A4"/>
    <w:rsid w:val="005411FC"/>
    <w:rsid w:val="0054207D"/>
    <w:rsid w:val="00543CDE"/>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1F57"/>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1D6"/>
    <w:rsid w:val="005A4E41"/>
    <w:rsid w:val="005A5610"/>
    <w:rsid w:val="005A5996"/>
    <w:rsid w:val="005A6F33"/>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4EB"/>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47BC8"/>
    <w:rsid w:val="0065039A"/>
    <w:rsid w:val="0065051E"/>
    <w:rsid w:val="0065055B"/>
    <w:rsid w:val="00651500"/>
    <w:rsid w:val="00651E5D"/>
    <w:rsid w:val="00652E7B"/>
    <w:rsid w:val="00655CE2"/>
    <w:rsid w:val="006561FC"/>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47BB"/>
    <w:rsid w:val="006B5106"/>
    <w:rsid w:val="006B52EE"/>
    <w:rsid w:val="006B779C"/>
    <w:rsid w:val="006B7F3F"/>
    <w:rsid w:val="006C28C9"/>
    <w:rsid w:val="006C2D1C"/>
    <w:rsid w:val="006C57C9"/>
    <w:rsid w:val="006C5FAE"/>
    <w:rsid w:val="006C7455"/>
    <w:rsid w:val="006C7F0C"/>
    <w:rsid w:val="006D0355"/>
    <w:rsid w:val="006D1B64"/>
    <w:rsid w:val="006D35AE"/>
    <w:rsid w:val="006D3CED"/>
    <w:rsid w:val="006D50C9"/>
    <w:rsid w:val="006D54EE"/>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76F"/>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0B79"/>
    <w:rsid w:val="007311AF"/>
    <w:rsid w:val="00733274"/>
    <w:rsid w:val="007349FA"/>
    <w:rsid w:val="00734BB3"/>
    <w:rsid w:val="007354F3"/>
    <w:rsid w:val="0073710D"/>
    <w:rsid w:val="00737633"/>
    <w:rsid w:val="007443C6"/>
    <w:rsid w:val="00745FC2"/>
    <w:rsid w:val="007469ED"/>
    <w:rsid w:val="00746CBA"/>
    <w:rsid w:val="00751155"/>
    <w:rsid w:val="007523FB"/>
    <w:rsid w:val="007533EB"/>
    <w:rsid w:val="0075460B"/>
    <w:rsid w:val="00754D7A"/>
    <w:rsid w:val="007609E3"/>
    <w:rsid w:val="00760C0B"/>
    <w:rsid w:val="0076116C"/>
    <w:rsid w:val="007637AA"/>
    <w:rsid w:val="00764214"/>
    <w:rsid w:val="00764C5D"/>
    <w:rsid w:val="00766240"/>
    <w:rsid w:val="00767508"/>
    <w:rsid w:val="00770243"/>
    <w:rsid w:val="007728A4"/>
    <w:rsid w:val="00772A5F"/>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367C"/>
    <w:rsid w:val="007A3905"/>
    <w:rsid w:val="007A427E"/>
    <w:rsid w:val="007A5490"/>
    <w:rsid w:val="007A5E5C"/>
    <w:rsid w:val="007A5F91"/>
    <w:rsid w:val="007A62DD"/>
    <w:rsid w:val="007A6F6D"/>
    <w:rsid w:val="007B0C3C"/>
    <w:rsid w:val="007B3094"/>
    <w:rsid w:val="007B37DA"/>
    <w:rsid w:val="007B43F4"/>
    <w:rsid w:val="007B4824"/>
    <w:rsid w:val="007B5D6B"/>
    <w:rsid w:val="007B7DC4"/>
    <w:rsid w:val="007C08CC"/>
    <w:rsid w:val="007C0ED2"/>
    <w:rsid w:val="007C0EF8"/>
    <w:rsid w:val="007C140A"/>
    <w:rsid w:val="007C1718"/>
    <w:rsid w:val="007C2E03"/>
    <w:rsid w:val="007C2FA8"/>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3036"/>
    <w:rsid w:val="00803309"/>
    <w:rsid w:val="00803679"/>
    <w:rsid w:val="008043D4"/>
    <w:rsid w:val="00804963"/>
    <w:rsid w:val="00805C21"/>
    <w:rsid w:val="00806409"/>
    <w:rsid w:val="00806444"/>
    <w:rsid w:val="00806FBC"/>
    <w:rsid w:val="008106A3"/>
    <w:rsid w:val="008109D8"/>
    <w:rsid w:val="0081127D"/>
    <w:rsid w:val="00811F2A"/>
    <w:rsid w:val="00813261"/>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6391"/>
    <w:rsid w:val="00850215"/>
    <w:rsid w:val="008504B5"/>
    <w:rsid w:val="00850A5C"/>
    <w:rsid w:val="00850B62"/>
    <w:rsid w:val="00850CE3"/>
    <w:rsid w:val="00850FE9"/>
    <w:rsid w:val="00852485"/>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8031D"/>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589A"/>
    <w:rsid w:val="0089612A"/>
    <w:rsid w:val="00896DDB"/>
    <w:rsid w:val="00897907"/>
    <w:rsid w:val="008A0248"/>
    <w:rsid w:val="008A1695"/>
    <w:rsid w:val="008A1DB8"/>
    <w:rsid w:val="008A2FD5"/>
    <w:rsid w:val="008A40EF"/>
    <w:rsid w:val="008A4212"/>
    <w:rsid w:val="008A52FC"/>
    <w:rsid w:val="008A5C36"/>
    <w:rsid w:val="008A5C8E"/>
    <w:rsid w:val="008A716E"/>
    <w:rsid w:val="008B019A"/>
    <w:rsid w:val="008B04B9"/>
    <w:rsid w:val="008B1067"/>
    <w:rsid w:val="008B14A5"/>
    <w:rsid w:val="008B20BF"/>
    <w:rsid w:val="008B415F"/>
    <w:rsid w:val="008B4223"/>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12AF"/>
    <w:rsid w:val="008D1BDC"/>
    <w:rsid w:val="008D1D14"/>
    <w:rsid w:val="008D3116"/>
    <w:rsid w:val="008D4F00"/>
    <w:rsid w:val="008D57DC"/>
    <w:rsid w:val="008D685E"/>
    <w:rsid w:val="008E19BF"/>
    <w:rsid w:val="008E1FA9"/>
    <w:rsid w:val="008E530B"/>
    <w:rsid w:val="008E5724"/>
    <w:rsid w:val="008E60AC"/>
    <w:rsid w:val="008E643F"/>
    <w:rsid w:val="008E728D"/>
    <w:rsid w:val="008E7A23"/>
    <w:rsid w:val="008F00F1"/>
    <w:rsid w:val="008F2580"/>
    <w:rsid w:val="008F298C"/>
    <w:rsid w:val="008F2AA2"/>
    <w:rsid w:val="008F35B4"/>
    <w:rsid w:val="008F39A1"/>
    <w:rsid w:val="008F4232"/>
    <w:rsid w:val="008F4C57"/>
    <w:rsid w:val="008F6E02"/>
    <w:rsid w:val="008F7953"/>
    <w:rsid w:val="008F7E44"/>
    <w:rsid w:val="00900AEA"/>
    <w:rsid w:val="00900FEF"/>
    <w:rsid w:val="0090365F"/>
    <w:rsid w:val="009052B3"/>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4299"/>
    <w:rsid w:val="00925BC2"/>
    <w:rsid w:val="00925BE9"/>
    <w:rsid w:val="00927E65"/>
    <w:rsid w:val="009303B1"/>
    <w:rsid w:val="00930BC9"/>
    <w:rsid w:val="00930E42"/>
    <w:rsid w:val="009315FB"/>
    <w:rsid w:val="00931AA5"/>
    <w:rsid w:val="00932CA0"/>
    <w:rsid w:val="00932FF9"/>
    <w:rsid w:val="009331A2"/>
    <w:rsid w:val="009332E8"/>
    <w:rsid w:val="00934141"/>
    <w:rsid w:val="009345D8"/>
    <w:rsid w:val="009354A5"/>
    <w:rsid w:val="0093670B"/>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951"/>
    <w:rsid w:val="00967BB2"/>
    <w:rsid w:val="00967C59"/>
    <w:rsid w:val="00970327"/>
    <w:rsid w:val="00972388"/>
    <w:rsid w:val="00972503"/>
    <w:rsid w:val="009730DF"/>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638"/>
    <w:rsid w:val="00994A55"/>
    <w:rsid w:val="009951A9"/>
    <w:rsid w:val="009959D9"/>
    <w:rsid w:val="009A0F43"/>
    <w:rsid w:val="009A1AA3"/>
    <w:rsid w:val="009A32AF"/>
    <w:rsid w:val="009A5C18"/>
    <w:rsid w:val="009A6235"/>
    <w:rsid w:val="009A6847"/>
    <w:rsid w:val="009B010E"/>
    <w:rsid w:val="009B0868"/>
    <w:rsid w:val="009B0D6B"/>
    <w:rsid w:val="009B1F69"/>
    <w:rsid w:val="009B2D59"/>
    <w:rsid w:val="009B2EDC"/>
    <w:rsid w:val="009B3D85"/>
    <w:rsid w:val="009B42FC"/>
    <w:rsid w:val="009B5972"/>
    <w:rsid w:val="009B658F"/>
    <w:rsid w:val="009B7705"/>
    <w:rsid w:val="009C1885"/>
    <w:rsid w:val="009C2BE8"/>
    <w:rsid w:val="009C3024"/>
    <w:rsid w:val="009C30E4"/>
    <w:rsid w:val="009C36F1"/>
    <w:rsid w:val="009C3F50"/>
    <w:rsid w:val="009C5882"/>
    <w:rsid w:val="009C6F3F"/>
    <w:rsid w:val="009C6F73"/>
    <w:rsid w:val="009D0329"/>
    <w:rsid w:val="009D062C"/>
    <w:rsid w:val="009D370C"/>
    <w:rsid w:val="009D47BF"/>
    <w:rsid w:val="009D4C4A"/>
    <w:rsid w:val="009D56BE"/>
    <w:rsid w:val="009D7BA6"/>
    <w:rsid w:val="009E3241"/>
    <w:rsid w:val="009E35D8"/>
    <w:rsid w:val="009E4D12"/>
    <w:rsid w:val="009E5D5A"/>
    <w:rsid w:val="009E69CD"/>
    <w:rsid w:val="009E6DAE"/>
    <w:rsid w:val="009E7060"/>
    <w:rsid w:val="009E70E5"/>
    <w:rsid w:val="009F16BA"/>
    <w:rsid w:val="009F192A"/>
    <w:rsid w:val="009F24B4"/>
    <w:rsid w:val="009F26C2"/>
    <w:rsid w:val="009F330F"/>
    <w:rsid w:val="009F425F"/>
    <w:rsid w:val="009F430F"/>
    <w:rsid w:val="009F4B1D"/>
    <w:rsid w:val="009F604E"/>
    <w:rsid w:val="009F699C"/>
    <w:rsid w:val="00A001B0"/>
    <w:rsid w:val="00A0081C"/>
    <w:rsid w:val="00A02D98"/>
    <w:rsid w:val="00A02E46"/>
    <w:rsid w:val="00A03C7B"/>
    <w:rsid w:val="00A03E95"/>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4BEF"/>
    <w:rsid w:val="00A25456"/>
    <w:rsid w:val="00A2589D"/>
    <w:rsid w:val="00A272C5"/>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2BA4"/>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29EE"/>
    <w:rsid w:val="00A84030"/>
    <w:rsid w:val="00A84181"/>
    <w:rsid w:val="00A84453"/>
    <w:rsid w:val="00A85790"/>
    <w:rsid w:val="00A85E2B"/>
    <w:rsid w:val="00A861AF"/>
    <w:rsid w:val="00A8653C"/>
    <w:rsid w:val="00A86A70"/>
    <w:rsid w:val="00A87111"/>
    <w:rsid w:val="00A90C46"/>
    <w:rsid w:val="00A922DD"/>
    <w:rsid w:val="00A92572"/>
    <w:rsid w:val="00A931E8"/>
    <w:rsid w:val="00A9321D"/>
    <w:rsid w:val="00A97BD8"/>
    <w:rsid w:val="00AA0E2F"/>
    <w:rsid w:val="00AA11C4"/>
    <w:rsid w:val="00AA20ED"/>
    <w:rsid w:val="00AA242B"/>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4107"/>
    <w:rsid w:val="00AB60FB"/>
    <w:rsid w:val="00AB6357"/>
    <w:rsid w:val="00AB7691"/>
    <w:rsid w:val="00AB7CC8"/>
    <w:rsid w:val="00AC1639"/>
    <w:rsid w:val="00AC1D9E"/>
    <w:rsid w:val="00AC1FE8"/>
    <w:rsid w:val="00AC2394"/>
    <w:rsid w:val="00AC3166"/>
    <w:rsid w:val="00AC3D74"/>
    <w:rsid w:val="00AC44EA"/>
    <w:rsid w:val="00AC4813"/>
    <w:rsid w:val="00AC4997"/>
    <w:rsid w:val="00AC4D62"/>
    <w:rsid w:val="00AC4E6A"/>
    <w:rsid w:val="00AC4F4A"/>
    <w:rsid w:val="00AC64FE"/>
    <w:rsid w:val="00AC6661"/>
    <w:rsid w:val="00AC6753"/>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F01B8"/>
    <w:rsid w:val="00AF0572"/>
    <w:rsid w:val="00AF07DB"/>
    <w:rsid w:val="00AF14AC"/>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4D8E"/>
    <w:rsid w:val="00B35D38"/>
    <w:rsid w:val="00B36364"/>
    <w:rsid w:val="00B36AE3"/>
    <w:rsid w:val="00B36DE7"/>
    <w:rsid w:val="00B40879"/>
    <w:rsid w:val="00B41D73"/>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1402"/>
    <w:rsid w:val="00B73E77"/>
    <w:rsid w:val="00B746CF"/>
    <w:rsid w:val="00B74C11"/>
    <w:rsid w:val="00B7520F"/>
    <w:rsid w:val="00B75CCE"/>
    <w:rsid w:val="00B75D9A"/>
    <w:rsid w:val="00B760C3"/>
    <w:rsid w:val="00B76F17"/>
    <w:rsid w:val="00B7771E"/>
    <w:rsid w:val="00B7775B"/>
    <w:rsid w:val="00B80149"/>
    <w:rsid w:val="00B803DF"/>
    <w:rsid w:val="00B8091A"/>
    <w:rsid w:val="00B80BF7"/>
    <w:rsid w:val="00B817A0"/>
    <w:rsid w:val="00B81B65"/>
    <w:rsid w:val="00B83963"/>
    <w:rsid w:val="00B8732C"/>
    <w:rsid w:val="00B87CB8"/>
    <w:rsid w:val="00B87E9F"/>
    <w:rsid w:val="00B931E3"/>
    <w:rsid w:val="00B947C3"/>
    <w:rsid w:val="00B94C6F"/>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350"/>
    <w:rsid w:val="00BD36A3"/>
    <w:rsid w:val="00BD53E5"/>
    <w:rsid w:val="00BD5E2D"/>
    <w:rsid w:val="00BD61CB"/>
    <w:rsid w:val="00BD7435"/>
    <w:rsid w:val="00BD75D8"/>
    <w:rsid w:val="00BD7C56"/>
    <w:rsid w:val="00BE0156"/>
    <w:rsid w:val="00BE0A27"/>
    <w:rsid w:val="00BE158F"/>
    <w:rsid w:val="00BE196C"/>
    <w:rsid w:val="00BE3808"/>
    <w:rsid w:val="00BE5B82"/>
    <w:rsid w:val="00BE5B89"/>
    <w:rsid w:val="00BE7614"/>
    <w:rsid w:val="00BF02FF"/>
    <w:rsid w:val="00BF0C48"/>
    <w:rsid w:val="00BF103E"/>
    <w:rsid w:val="00BF1B4F"/>
    <w:rsid w:val="00BF1F6B"/>
    <w:rsid w:val="00BF49C3"/>
    <w:rsid w:val="00BF570E"/>
    <w:rsid w:val="00BF72C2"/>
    <w:rsid w:val="00C00252"/>
    <w:rsid w:val="00C00260"/>
    <w:rsid w:val="00C00873"/>
    <w:rsid w:val="00C02D5A"/>
    <w:rsid w:val="00C03069"/>
    <w:rsid w:val="00C033A3"/>
    <w:rsid w:val="00C033DC"/>
    <w:rsid w:val="00C036B0"/>
    <w:rsid w:val="00C050D0"/>
    <w:rsid w:val="00C05122"/>
    <w:rsid w:val="00C056D7"/>
    <w:rsid w:val="00C0663E"/>
    <w:rsid w:val="00C07125"/>
    <w:rsid w:val="00C10257"/>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9A9"/>
    <w:rsid w:val="00C31CEE"/>
    <w:rsid w:val="00C32781"/>
    <w:rsid w:val="00C35137"/>
    <w:rsid w:val="00C35677"/>
    <w:rsid w:val="00C362C4"/>
    <w:rsid w:val="00C42FAD"/>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409"/>
    <w:rsid w:val="00C60C87"/>
    <w:rsid w:val="00C61531"/>
    <w:rsid w:val="00C61B94"/>
    <w:rsid w:val="00C61F75"/>
    <w:rsid w:val="00C62AB9"/>
    <w:rsid w:val="00C62B05"/>
    <w:rsid w:val="00C62CFA"/>
    <w:rsid w:val="00C63451"/>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87414"/>
    <w:rsid w:val="00C904EA"/>
    <w:rsid w:val="00C912BD"/>
    <w:rsid w:val="00C91D89"/>
    <w:rsid w:val="00C91E19"/>
    <w:rsid w:val="00C937BA"/>
    <w:rsid w:val="00C938A9"/>
    <w:rsid w:val="00C93D30"/>
    <w:rsid w:val="00C968B2"/>
    <w:rsid w:val="00C975A0"/>
    <w:rsid w:val="00CA19DC"/>
    <w:rsid w:val="00CA1E9D"/>
    <w:rsid w:val="00CA20E9"/>
    <w:rsid w:val="00CA225B"/>
    <w:rsid w:val="00CA2FC9"/>
    <w:rsid w:val="00CA3282"/>
    <w:rsid w:val="00CA3532"/>
    <w:rsid w:val="00CA4AD9"/>
    <w:rsid w:val="00CA79B1"/>
    <w:rsid w:val="00CA7B2D"/>
    <w:rsid w:val="00CB03E0"/>
    <w:rsid w:val="00CB2359"/>
    <w:rsid w:val="00CB3681"/>
    <w:rsid w:val="00CB4093"/>
    <w:rsid w:val="00CB4CCB"/>
    <w:rsid w:val="00CB51DB"/>
    <w:rsid w:val="00CB5A8D"/>
    <w:rsid w:val="00CB6B39"/>
    <w:rsid w:val="00CB7305"/>
    <w:rsid w:val="00CB7312"/>
    <w:rsid w:val="00CB7D36"/>
    <w:rsid w:val="00CB7E3C"/>
    <w:rsid w:val="00CC0585"/>
    <w:rsid w:val="00CC06CE"/>
    <w:rsid w:val="00CC087D"/>
    <w:rsid w:val="00CC150D"/>
    <w:rsid w:val="00CC1B75"/>
    <w:rsid w:val="00CC396E"/>
    <w:rsid w:val="00CC3FC8"/>
    <w:rsid w:val="00CC4637"/>
    <w:rsid w:val="00CC4726"/>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C2C"/>
    <w:rsid w:val="00CF62C3"/>
    <w:rsid w:val="00CF6E2E"/>
    <w:rsid w:val="00D0028C"/>
    <w:rsid w:val="00D009AC"/>
    <w:rsid w:val="00D00C9E"/>
    <w:rsid w:val="00D01D8E"/>
    <w:rsid w:val="00D03578"/>
    <w:rsid w:val="00D044B6"/>
    <w:rsid w:val="00D05B21"/>
    <w:rsid w:val="00D06951"/>
    <w:rsid w:val="00D07471"/>
    <w:rsid w:val="00D078A3"/>
    <w:rsid w:val="00D10288"/>
    <w:rsid w:val="00D106E6"/>
    <w:rsid w:val="00D10E24"/>
    <w:rsid w:val="00D11338"/>
    <w:rsid w:val="00D11644"/>
    <w:rsid w:val="00D13933"/>
    <w:rsid w:val="00D13E4F"/>
    <w:rsid w:val="00D15033"/>
    <w:rsid w:val="00D1513E"/>
    <w:rsid w:val="00D22404"/>
    <w:rsid w:val="00D22C1F"/>
    <w:rsid w:val="00D22C83"/>
    <w:rsid w:val="00D22DAF"/>
    <w:rsid w:val="00D242CE"/>
    <w:rsid w:val="00D243C7"/>
    <w:rsid w:val="00D244C0"/>
    <w:rsid w:val="00D24AD8"/>
    <w:rsid w:val="00D253B0"/>
    <w:rsid w:val="00D26826"/>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091"/>
    <w:rsid w:val="00D4729F"/>
    <w:rsid w:val="00D47FC3"/>
    <w:rsid w:val="00D521AA"/>
    <w:rsid w:val="00D52875"/>
    <w:rsid w:val="00D52D60"/>
    <w:rsid w:val="00D5323E"/>
    <w:rsid w:val="00D54D06"/>
    <w:rsid w:val="00D54F1B"/>
    <w:rsid w:val="00D5728F"/>
    <w:rsid w:val="00D57407"/>
    <w:rsid w:val="00D57753"/>
    <w:rsid w:val="00D57F29"/>
    <w:rsid w:val="00D6092D"/>
    <w:rsid w:val="00D63144"/>
    <w:rsid w:val="00D638AD"/>
    <w:rsid w:val="00D64553"/>
    <w:rsid w:val="00D6527E"/>
    <w:rsid w:val="00D6598B"/>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EB9"/>
    <w:rsid w:val="00DD04E5"/>
    <w:rsid w:val="00DD07CE"/>
    <w:rsid w:val="00DD11A7"/>
    <w:rsid w:val="00DD2C20"/>
    <w:rsid w:val="00DD38A6"/>
    <w:rsid w:val="00DD476F"/>
    <w:rsid w:val="00DD4C81"/>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1B54"/>
    <w:rsid w:val="00DF29C3"/>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3E8C"/>
    <w:rsid w:val="00E34E62"/>
    <w:rsid w:val="00E355BC"/>
    <w:rsid w:val="00E35997"/>
    <w:rsid w:val="00E35C97"/>
    <w:rsid w:val="00E35CAC"/>
    <w:rsid w:val="00E35F5F"/>
    <w:rsid w:val="00E36E9E"/>
    <w:rsid w:val="00E37747"/>
    <w:rsid w:val="00E37A7F"/>
    <w:rsid w:val="00E4099D"/>
    <w:rsid w:val="00E41971"/>
    <w:rsid w:val="00E42731"/>
    <w:rsid w:val="00E43197"/>
    <w:rsid w:val="00E44231"/>
    <w:rsid w:val="00E44A17"/>
    <w:rsid w:val="00E45ABE"/>
    <w:rsid w:val="00E4708A"/>
    <w:rsid w:val="00E4728F"/>
    <w:rsid w:val="00E47A83"/>
    <w:rsid w:val="00E5062F"/>
    <w:rsid w:val="00E5376D"/>
    <w:rsid w:val="00E54601"/>
    <w:rsid w:val="00E55782"/>
    <w:rsid w:val="00E5685A"/>
    <w:rsid w:val="00E602B2"/>
    <w:rsid w:val="00E634A5"/>
    <w:rsid w:val="00E6542D"/>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24DE"/>
    <w:rsid w:val="00E83398"/>
    <w:rsid w:val="00E844A0"/>
    <w:rsid w:val="00E877B7"/>
    <w:rsid w:val="00E87857"/>
    <w:rsid w:val="00E87CA0"/>
    <w:rsid w:val="00E90750"/>
    <w:rsid w:val="00E90C02"/>
    <w:rsid w:val="00E90FA8"/>
    <w:rsid w:val="00E927CC"/>
    <w:rsid w:val="00E93078"/>
    <w:rsid w:val="00E94AD1"/>
    <w:rsid w:val="00E94E7B"/>
    <w:rsid w:val="00E95100"/>
    <w:rsid w:val="00E95E80"/>
    <w:rsid w:val="00E9768E"/>
    <w:rsid w:val="00EA04B2"/>
    <w:rsid w:val="00EA0F6D"/>
    <w:rsid w:val="00EA2548"/>
    <w:rsid w:val="00EA3B17"/>
    <w:rsid w:val="00EA42C4"/>
    <w:rsid w:val="00EA49E1"/>
    <w:rsid w:val="00EA4A52"/>
    <w:rsid w:val="00EA6106"/>
    <w:rsid w:val="00EA66C2"/>
    <w:rsid w:val="00EA6843"/>
    <w:rsid w:val="00EA77F6"/>
    <w:rsid w:val="00EA792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08AF"/>
    <w:rsid w:val="00EF201F"/>
    <w:rsid w:val="00EF26B2"/>
    <w:rsid w:val="00EF26F0"/>
    <w:rsid w:val="00EF2C79"/>
    <w:rsid w:val="00EF3F17"/>
    <w:rsid w:val="00EF4962"/>
    <w:rsid w:val="00EF5E76"/>
    <w:rsid w:val="00EF6676"/>
    <w:rsid w:val="00EF6865"/>
    <w:rsid w:val="00EF6EA0"/>
    <w:rsid w:val="00EF73D9"/>
    <w:rsid w:val="00F01BF2"/>
    <w:rsid w:val="00F01E24"/>
    <w:rsid w:val="00F020C1"/>
    <w:rsid w:val="00F0257E"/>
    <w:rsid w:val="00F02FD0"/>
    <w:rsid w:val="00F039BA"/>
    <w:rsid w:val="00F044C4"/>
    <w:rsid w:val="00F0471B"/>
    <w:rsid w:val="00F05BD9"/>
    <w:rsid w:val="00F05E68"/>
    <w:rsid w:val="00F071BE"/>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58E8"/>
    <w:rsid w:val="00F26230"/>
    <w:rsid w:val="00F27F41"/>
    <w:rsid w:val="00F303F5"/>
    <w:rsid w:val="00F3088F"/>
    <w:rsid w:val="00F30E5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2EE"/>
    <w:rsid w:val="00F77480"/>
    <w:rsid w:val="00F807AE"/>
    <w:rsid w:val="00F80A3C"/>
    <w:rsid w:val="00F80DA0"/>
    <w:rsid w:val="00F81105"/>
    <w:rsid w:val="00F8175E"/>
    <w:rsid w:val="00F8227D"/>
    <w:rsid w:val="00F838A1"/>
    <w:rsid w:val="00F84FA9"/>
    <w:rsid w:val="00F85423"/>
    <w:rsid w:val="00F866F3"/>
    <w:rsid w:val="00F8694D"/>
    <w:rsid w:val="00F90095"/>
    <w:rsid w:val="00F900D5"/>
    <w:rsid w:val="00F929F4"/>
    <w:rsid w:val="00FA01C7"/>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4A4"/>
    <w:rsid w:val="00FE6FF2"/>
    <w:rsid w:val="00FF2ACB"/>
    <w:rsid w:val="00FF4BD9"/>
    <w:rsid w:val="00FF7D2E"/>
    <w:rsid w:val="01301E7F"/>
    <w:rsid w:val="017068FC"/>
    <w:rsid w:val="019D0A18"/>
    <w:rsid w:val="01EE5E5A"/>
    <w:rsid w:val="021C1C67"/>
    <w:rsid w:val="023128A5"/>
    <w:rsid w:val="02524D04"/>
    <w:rsid w:val="025F090C"/>
    <w:rsid w:val="026950D6"/>
    <w:rsid w:val="02AF3174"/>
    <w:rsid w:val="02C337CC"/>
    <w:rsid w:val="02E358DE"/>
    <w:rsid w:val="036B2B50"/>
    <w:rsid w:val="04425068"/>
    <w:rsid w:val="044255A5"/>
    <w:rsid w:val="04431F68"/>
    <w:rsid w:val="04527D7C"/>
    <w:rsid w:val="04744672"/>
    <w:rsid w:val="047A0CA5"/>
    <w:rsid w:val="05266494"/>
    <w:rsid w:val="058D28F1"/>
    <w:rsid w:val="059035EB"/>
    <w:rsid w:val="059262F7"/>
    <w:rsid w:val="05A202E1"/>
    <w:rsid w:val="05A94747"/>
    <w:rsid w:val="05B63F2D"/>
    <w:rsid w:val="05BF2332"/>
    <w:rsid w:val="05DD2367"/>
    <w:rsid w:val="05DE2313"/>
    <w:rsid w:val="05F66454"/>
    <w:rsid w:val="062E0CA9"/>
    <w:rsid w:val="0637268E"/>
    <w:rsid w:val="06393C5B"/>
    <w:rsid w:val="0677352A"/>
    <w:rsid w:val="06891679"/>
    <w:rsid w:val="068A6CDE"/>
    <w:rsid w:val="06D34112"/>
    <w:rsid w:val="06DC637A"/>
    <w:rsid w:val="07234AC6"/>
    <w:rsid w:val="072514A2"/>
    <w:rsid w:val="075D45D1"/>
    <w:rsid w:val="07614C11"/>
    <w:rsid w:val="078B20BD"/>
    <w:rsid w:val="07A64FC0"/>
    <w:rsid w:val="07AE47E5"/>
    <w:rsid w:val="0863622A"/>
    <w:rsid w:val="086F3B3E"/>
    <w:rsid w:val="08D22FAE"/>
    <w:rsid w:val="08D900B4"/>
    <w:rsid w:val="0902311C"/>
    <w:rsid w:val="0911304C"/>
    <w:rsid w:val="092D1499"/>
    <w:rsid w:val="095A0A96"/>
    <w:rsid w:val="095F26FA"/>
    <w:rsid w:val="09613FEC"/>
    <w:rsid w:val="097F5A20"/>
    <w:rsid w:val="09A1558B"/>
    <w:rsid w:val="09BF125C"/>
    <w:rsid w:val="09D435CC"/>
    <w:rsid w:val="09EA53E1"/>
    <w:rsid w:val="0A2511AB"/>
    <w:rsid w:val="0A4C51E6"/>
    <w:rsid w:val="0A86134B"/>
    <w:rsid w:val="0A91750A"/>
    <w:rsid w:val="0A962926"/>
    <w:rsid w:val="0A981E65"/>
    <w:rsid w:val="0B28195C"/>
    <w:rsid w:val="0B9670AC"/>
    <w:rsid w:val="0BBB0B41"/>
    <w:rsid w:val="0BBF05B7"/>
    <w:rsid w:val="0BC46285"/>
    <w:rsid w:val="0C356973"/>
    <w:rsid w:val="0C695B62"/>
    <w:rsid w:val="0C82125C"/>
    <w:rsid w:val="0CE16DA6"/>
    <w:rsid w:val="0D337B19"/>
    <w:rsid w:val="0D6C45CB"/>
    <w:rsid w:val="0D7862BA"/>
    <w:rsid w:val="0D8D035A"/>
    <w:rsid w:val="0D981D5D"/>
    <w:rsid w:val="0DD04B84"/>
    <w:rsid w:val="0DD26D65"/>
    <w:rsid w:val="0DD64618"/>
    <w:rsid w:val="0DEF64B7"/>
    <w:rsid w:val="0E2477CC"/>
    <w:rsid w:val="0E627B9D"/>
    <w:rsid w:val="0E786DF0"/>
    <w:rsid w:val="0E7D0DEC"/>
    <w:rsid w:val="0EE142C4"/>
    <w:rsid w:val="0EFB2D44"/>
    <w:rsid w:val="0F4B5AEB"/>
    <w:rsid w:val="0F4B62D9"/>
    <w:rsid w:val="0F5311DB"/>
    <w:rsid w:val="0F83679F"/>
    <w:rsid w:val="0F8776FD"/>
    <w:rsid w:val="0F91057B"/>
    <w:rsid w:val="0F937BEF"/>
    <w:rsid w:val="0FE179EE"/>
    <w:rsid w:val="0FED39BE"/>
    <w:rsid w:val="104035E9"/>
    <w:rsid w:val="10A44B8B"/>
    <w:rsid w:val="116E57B2"/>
    <w:rsid w:val="117C77AF"/>
    <w:rsid w:val="11E52749"/>
    <w:rsid w:val="12070C35"/>
    <w:rsid w:val="1213329C"/>
    <w:rsid w:val="121B3495"/>
    <w:rsid w:val="12855655"/>
    <w:rsid w:val="128800FC"/>
    <w:rsid w:val="12A32AC3"/>
    <w:rsid w:val="12B13B62"/>
    <w:rsid w:val="12D6567C"/>
    <w:rsid w:val="12E13E89"/>
    <w:rsid w:val="13113ADC"/>
    <w:rsid w:val="136775E5"/>
    <w:rsid w:val="136F372A"/>
    <w:rsid w:val="13967834"/>
    <w:rsid w:val="13982333"/>
    <w:rsid w:val="139B206A"/>
    <w:rsid w:val="13C83824"/>
    <w:rsid w:val="13F23A91"/>
    <w:rsid w:val="1436265E"/>
    <w:rsid w:val="146111EE"/>
    <w:rsid w:val="146A4960"/>
    <w:rsid w:val="14837515"/>
    <w:rsid w:val="14950F51"/>
    <w:rsid w:val="14B70D54"/>
    <w:rsid w:val="14CF2B35"/>
    <w:rsid w:val="1544101F"/>
    <w:rsid w:val="15AC639F"/>
    <w:rsid w:val="15C55A8A"/>
    <w:rsid w:val="15F509A2"/>
    <w:rsid w:val="161869AD"/>
    <w:rsid w:val="1662541D"/>
    <w:rsid w:val="166F1ADC"/>
    <w:rsid w:val="169275E4"/>
    <w:rsid w:val="169D677F"/>
    <w:rsid w:val="16E16597"/>
    <w:rsid w:val="16EF6AF0"/>
    <w:rsid w:val="16F232E6"/>
    <w:rsid w:val="171752BD"/>
    <w:rsid w:val="171A439F"/>
    <w:rsid w:val="172D55A7"/>
    <w:rsid w:val="173C0961"/>
    <w:rsid w:val="177D3C07"/>
    <w:rsid w:val="179E5CCC"/>
    <w:rsid w:val="17BA4FE8"/>
    <w:rsid w:val="17C57C4F"/>
    <w:rsid w:val="180A74EF"/>
    <w:rsid w:val="18240A78"/>
    <w:rsid w:val="18406077"/>
    <w:rsid w:val="18DA1F55"/>
    <w:rsid w:val="18FA2AC3"/>
    <w:rsid w:val="19AA6EAC"/>
    <w:rsid w:val="19C37C9D"/>
    <w:rsid w:val="1A041314"/>
    <w:rsid w:val="1A440207"/>
    <w:rsid w:val="1A9242C8"/>
    <w:rsid w:val="1AD02F3B"/>
    <w:rsid w:val="1AFF6BCA"/>
    <w:rsid w:val="1B2E161F"/>
    <w:rsid w:val="1B442F1E"/>
    <w:rsid w:val="1B6A0532"/>
    <w:rsid w:val="1B790104"/>
    <w:rsid w:val="1B8B33F5"/>
    <w:rsid w:val="1B944F25"/>
    <w:rsid w:val="1BAC10E7"/>
    <w:rsid w:val="1BB1494E"/>
    <w:rsid w:val="1BBC5170"/>
    <w:rsid w:val="1BCE681F"/>
    <w:rsid w:val="1BF856FE"/>
    <w:rsid w:val="1C086459"/>
    <w:rsid w:val="1C2C7C1D"/>
    <w:rsid w:val="1C725F39"/>
    <w:rsid w:val="1CEE1229"/>
    <w:rsid w:val="1D230C56"/>
    <w:rsid w:val="1D290079"/>
    <w:rsid w:val="1D4A2890"/>
    <w:rsid w:val="1D5E0410"/>
    <w:rsid w:val="1D6031B8"/>
    <w:rsid w:val="1D68774B"/>
    <w:rsid w:val="1D6938C8"/>
    <w:rsid w:val="1DD60468"/>
    <w:rsid w:val="1E2F1226"/>
    <w:rsid w:val="1E860857"/>
    <w:rsid w:val="1EC20463"/>
    <w:rsid w:val="1EF5631C"/>
    <w:rsid w:val="1EFF3180"/>
    <w:rsid w:val="1F1E176A"/>
    <w:rsid w:val="1F696B51"/>
    <w:rsid w:val="1F7415F0"/>
    <w:rsid w:val="1FC464BE"/>
    <w:rsid w:val="1FC90CA6"/>
    <w:rsid w:val="20344F28"/>
    <w:rsid w:val="20497803"/>
    <w:rsid w:val="205C69D9"/>
    <w:rsid w:val="209C0E75"/>
    <w:rsid w:val="209D1FFD"/>
    <w:rsid w:val="20B15F2E"/>
    <w:rsid w:val="20CA3DCC"/>
    <w:rsid w:val="21161CC6"/>
    <w:rsid w:val="213F220B"/>
    <w:rsid w:val="21401A07"/>
    <w:rsid w:val="21440E3B"/>
    <w:rsid w:val="2147448F"/>
    <w:rsid w:val="217438ED"/>
    <w:rsid w:val="21931DA4"/>
    <w:rsid w:val="21B300DA"/>
    <w:rsid w:val="222942F0"/>
    <w:rsid w:val="222E4EB0"/>
    <w:rsid w:val="223C6D39"/>
    <w:rsid w:val="226C530A"/>
    <w:rsid w:val="22737E04"/>
    <w:rsid w:val="22890FF6"/>
    <w:rsid w:val="22B832E7"/>
    <w:rsid w:val="22BC2B0B"/>
    <w:rsid w:val="22BF3C95"/>
    <w:rsid w:val="22F10566"/>
    <w:rsid w:val="22F93C86"/>
    <w:rsid w:val="233B477E"/>
    <w:rsid w:val="234C656C"/>
    <w:rsid w:val="23540675"/>
    <w:rsid w:val="238E4177"/>
    <w:rsid w:val="23AA487C"/>
    <w:rsid w:val="23CC3861"/>
    <w:rsid w:val="23CF07AE"/>
    <w:rsid w:val="23ED07BB"/>
    <w:rsid w:val="23F1164A"/>
    <w:rsid w:val="240731F5"/>
    <w:rsid w:val="24170E51"/>
    <w:rsid w:val="24360CAA"/>
    <w:rsid w:val="246533B7"/>
    <w:rsid w:val="246A3468"/>
    <w:rsid w:val="24A72DE2"/>
    <w:rsid w:val="24AB39EC"/>
    <w:rsid w:val="24C02548"/>
    <w:rsid w:val="2504706C"/>
    <w:rsid w:val="25256978"/>
    <w:rsid w:val="254E4486"/>
    <w:rsid w:val="258E7861"/>
    <w:rsid w:val="25BC4D31"/>
    <w:rsid w:val="25CD27CE"/>
    <w:rsid w:val="260D5F9E"/>
    <w:rsid w:val="26156D52"/>
    <w:rsid w:val="264F554E"/>
    <w:rsid w:val="26505EEA"/>
    <w:rsid w:val="26831ECC"/>
    <w:rsid w:val="269164A1"/>
    <w:rsid w:val="26AB62FE"/>
    <w:rsid w:val="271A38DB"/>
    <w:rsid w:val="272B1F86"/>
    <w:rsid w:val="27646326"/>
    <w:rsid w:val="276E54A3"/>
    <w:rsid w:val="279A5643"/>
    <w:rsid w:val="27BD5910"/>
    <w:rsid w:val="27C03F79"/>
    <w:rsid w:val="27D42802"/>
    <w:rsid w:val="27F8730A"/>
    <w:rsid w:val="28313F6A"/>
    <w:rsid w:val="283B4790"/>
    <w:rsid w:val="283B5ADB"/>
    <w:rsid w:val="28551C59"/>
    <w:rsid w:val="287032A8"/>
    <w:rsid w:val="288B6294"/>
    <w:rsid w:val="289D7581"/>
    <w:rsid w:val="28A54009"/>
    <w:rsid w:val="28B40601"/>
    <w:rsid w:val="291622F2"/>
    <w:rsid w:val="293B6AA6"/>
    <w:rsid w:val="295027D7"/>
    <w:rsid w:val="29777BB7"/>
    <w:rsid w:val="29DE193E"/>
    <w:rsid w:val="29E35381"/>
    <w:rsid w:val="2A344BFA"/>
    <w:rsid w:val="2A3F3FA0"/>
    <w:rsid w:val="2A3F4158"/>
    <w:rsid w:val="2A3F417E"/>
    <w:rsid w:val="2A434BAB"/>
    <w:rsid w:val="2A542078"/>
    <w:rsid w:val="2A8E6F50"/>
    <w:rsid w:val="2ABA23CE"/>
    <w:rsid w:val="2B0C6480"/>
    <w:rsid w:val="2B0D23A6"/>
    <w:rsid w:val="2B124FA2"/>
    <w:rsid w:val="2B325C1C"/>
    <w:rsid w:val="2B414EE0"/>
    <w:rsid w:val="2B431FC9"/>
    <w:rsid w:val="2B4F336F"/>
    <w:rsid w:val="2BB078ED"/>
    <w:rsid w:val="2BC03C16"/>
    <w:rsid w:val="2BD523B1"/>
    <w:rsid w:val="2C244C85"/>
    <w:rsid w:val="2C364F00"/>
    <w:rsid w:val="2C487810"/>
    <w:rsid w:val="2C924F81"/>
    <w:rsid w:val="2CAA23E2"/>
    <w:rsid w:val="2CD12B9A"/>
    <w:rsid w:val="2CD275E7"/>
    <w:rsid w:val="2CFB35D6"/>
    <w:rsid w:val="2CFB4651"/>
    <w:rsid w:val="2D5B6A1C"/>
    <w:rsid w:val="2D8542FF"/>
    <w:rsid w:val="2D990AC0"/>
    <w:rsid w:val="2D9E1065"/>
    <w:rsid w:val="2DCB1CAD"/>
    <w:rsid w:val="2EC05CCD"/>
    <w:rsid w:val="2EC24F3A"/>
    <w:rsid w:val="2ED23102"/>
    <w:rsid w:val="2F005017"/>
    <w:rsid w:val="2F105C62"/>
    <w:rsid w:val="2F6D1ABD"/>
    <w:rsid w:val="2F95371E"/>
    <w:rsid w:val="2FDA4FD6"/>
    <w:rsid w:val="2FE2073A"/>
    <w:rsid w:val="305616F9"/>
    <w:rsid w:val="305D420B"/>
    <w:rsid w:val="30647665"/>
    <w:rsid w:val="30791856"/>
    <w:rsid w:val="30840E28"/>
    <w:rsid w:val="30EF1A2A"/>
    <w:rsid w:val="31A73257"/>
    <w:rsid w:val="31DB3CB0"/>
    <w:rsid w:val="31EF0F2A"/>
    <w:rsid w:val="32191399"/>
    <w:rsid w:val="324F234F"/>
    <w:rsid w:val="329F50DE"/>
    <w:rsid w:val="32A326AD"/>
    <w:rsid w:val="32F10036"/>
    <w:rsid w:val="336C15E0"/>
    <w:rsid w:val="339F59A1"/>
    <w:rsid w:val="33CB3461"/>
    <w:rsid w:val="33F6670D"/>
    <w:rsid w:val="342E2968"/>
    <w:rsid w:val="34906F58"/>
    <w:rsid w:val="35297C38"/>
    <w:rsid w:val="352F7C9A"/>
    <w:rsid w:val="358F07E8"/>
    <w:rsid w:val="35962AE7"/>
    <w:rsid w:val="35A6736E"/>
    <w:rsid w:val="35A93699"/>
    <w:rsid w:val="35D4639A"/>
    <w:rsid w:val="35ED7200"/>
    <w:rsid w:val="35F37220"/>
    <w:rsid w:val="36120BB7"/>
    <w:rsid w:val="36203EB6"/>
    <w:rsid w:val="365557F9"/>
    <w:rsid w:val="36642287"/>
    <w:rsid w:val="36716CBD"/>
    <w:rsid w:val="3683600D"/>
    <w:rsid w:val="36847009"/>
    <w:rsid w:val="36DB7A54"/>
    <w:rsid w:val="36E3071F"/>
    <w:rsid w:val="36F21258"/>
    <w:rsid w:val="36F33682"/>
    <w:rsid w:val="36FC2258"/>
    <w:rsid w:val="37253618"/>
    <w:rsid w:val="374678B9"/>
    <w:rsid w:val="37841EA1"/>
    <w:rsid w:val="37B2092C"/>
    <w:rsid w:val="37D72911"/>
    <w:rsid w:val="37EE5AD1"/>
    <w:rsid w:val="383106CC"/>
    <w:rsid w:val="38446DDC"/>
    <w:rsid w:val="38740449"/>
    <w:rsid w:val="388F4BAB"/>
    <w:rsid w:val="38A63978"/>
    <w:rsid w:val="38C50779"/>
    <w:rsid w:val="38C66277"/>
    <w:rsid w:val="38EB107F"/>
    <w:rsid w:val="395979D9"/>
    <w:rsid w:val="397E3A26"/>
    <w:rsid w:val="39BB74CE"/>
    <w:rsid w:val="3A1A39E5"/>
    <w:rsid w:val="3A407CD2"/>
    <w:rsid w:val="3A734604"/>
    <w:rsid w:val="3A8D72B7"/>
    <w:rsid w:val="3A94687F"/>
    <w:rsid w:val="3B04243F"/>
    <w:rsid w:val="3B1507E5"/>
    <w:rsid w:val="3BB824F0"/>
    <w:rsid w:val="3BDD7DCA"/>
    <w:rsid w:val="3BE973FA"/>
    <w:rsid w:val="3BF26D81"/>
    <w:rsid w:val="3C33186C"/>
    <w:rsid w:val="3C643435"/>
    <w:rsid w:val="3CBF66BA"/>
    <w:rsid w:val="3CC2289A"/>
    <w:rsid w:val="3CD40703"/>
    <w:rsid w:val="3D036D22"/>
    <w:rsid w:val="3D061DF5"/>
    <w:rsid w:val="3D3A2780"/>
    <w:rsid w:val="3D5D7415"/>
    <w:rsid w:val="3D7A3ED4"/>
    <w:rsid w:val="3D9373CC"/>
    <w:rsid w:val="3E0F6A37"/>
    <w:rsid w:val="3EA45DD7"/>
    <w:rsid w:val="3F006868"/>
    <w:rsid w:val="3F323D07"/>
    <w:rsid w:val="3F39181E"/>
    <w:rsid w:val="3F71476B"/>
    <w:rsid w:val="3FF26DDC"/>
    <w:rsid w:val="40151CD8"/>
    <w:rsid w:val="401B6AE5"/>
    <w:rsid w:val="4028654A"/>
    <w:rsid w:val="407D3AFF"/>
    <w:rsid w:val="40852363"/>
    <w:rsid w:val="40882E6C"/>
    <w:rsid w:val="40BD1457"/>
    <w:rsid w:val="40F94425"/>
    <w:rsid w:val="4132654E"/>
    <w:rsid w:val="41396B31"/>
    <w:rsid w:val="41BA046C"/>
    <w:rsid w:val="420E0976"/>
    <w:rsid w:val="420F16A6"/>
    <w:rsid w:val="42B44817"/>
    <w:rsid w:val="42FB4E6F"/>
    <w:rsid w:val="43011D77"/>
    <w:rsid w:val="430B35E3"/>
    <w:rsid w:val="43780BFB"/>
    <w:rsid w:val="43857227"/>
    <w:rsid w:val="43862528"/>
    <w:rsid w:val="43AF18B8"/>
    <w:rsid w:val="43B12082"/>
    <w:rsid w:val="43B22973"/>
    <w:rsid w:val="43C027CE"/>
    <w:rsid w:val="44366880"/>
    <w:rsid w:val="448D0B1F"/>
    <w:rsid w:val="448D2698"/>
    <w:rsid w:val="448F2E3F"/>
    <w:rsid w:val="45010DAE"/>
    <w:rsid w:val="4526141B"/>
    <w:rsid w:val="455B74F4"/>
    <w:rsid w:val="45885BCA"/>
    <w:rsid w:val="458F1EB2"/>
    <w:rsid w:val="45BD1A80"/>
    <w:rsid w:val="45C76993"/>
    <w:rsid w:val="45C80F05"/>
    <w:rsid w:val="45D96F3A"/>
    <w:rsid w:val="461932BD"/>
    <w:rsid w:val="462571B2"/>
    <w:rsid w:val="462B6B21"/>
    <w:rsid w:val="46302FCC"/>
    <w:rsid w:val="46800755"/>
    <w:rsid w:val="46A8088C"/>
    <w:rsid w:val="46CA6DF5"/>
    <w:rsid w:val="471A7905"/>
    <w:rsid w:val="474A0981"/>
    <w:rsid w:val="47A51689"/>
    <w:rsid w:val="47C84799"/>
    <w:rsid w:val="47D22EB0"/>
    <w:rsid w:val="47DE511F"/>
    <w:rsid w:val="48255E3E"/>
    <w:rsid w:val="48486102"/>
    <w:rsid w:val="48557A30"/>
    <w:rsid w:val="48E829AC"/>
    <w:rsid w:val="48EF31E1"/>
    <w:rsid w:val="491A5815"/>
    <w:rsid w:val="494F7BA5"/>
    <w:rsid w:val="496950CA"/>
    <w:rsid w:val="49807271"/>
    <w:rsid w:val="4984556B"/>
    <w:rsid w:val="49C6701B"/>
    <w:rsid w:val="49EA3CF6"/>
    <w:rsid w:val="49FD1664"/>
    <w:rsid w:val="4AE278DD"/>
    <w:rsid w:val="4AE72189"/>
    <w:rsid w:val="4B6D786E"/>
    <w:rsid w:val="4B782245"/>
    <w:rsid w:val="4B7B2B63"/>
    <w:rsid w:val="4B8571E6"/>
    <w:rsid w:val="4BD40DF5"/>
    <w:rsid w:val="4BE507B5"/>
    <w:rsid w:val="4BEC61A4"/>
    <w:rsid w:val="4C3D707B"/>
    <w:rsid w:val="4C475CA7"/>
    <w:rsid w:val="4C546345"/>
    <w:rsid w:val="4C7C4C0B"/>
    <w:rsid w:val="4C857EB6"/>
    <w:rsid w:val="4C934D5B"/>
    <w:rsid w:val="4D135D42"/>
    <w:rsid w:val="4D164DF3"/>
    <w:rsid w:val="4D22352B"/>
    <w:rsid w:val="4D35377D"/>
    <w:rsid w:val="4D545F40"/>
    <w:rsid w:val="4D6232CD"/>
    <w:rsid w:val="4D667F7D"/>
    <w:rsid w:val="4D6B69BB"/>
    <w:rsid w:val="4D9D0935"/>
    <w:rsid w:val="4DBA590A"/>
    <w:rsid w:val="4DCB5D84"/>
    <w:rsid w:val="4DCE7417"/>
    <w:rsid w:val="4DE758B3"/>
    <w:rsid w:val="4E1F0720"/>
    <w:rsid w:val="4E937C2A"/>
    <w:rsid w:val="4ED9682D"/>
    <w:rsid w:val="4EEF005D"/>
    <w:rsid w:val="4F065C41"/>
    <w:rsid w:val="4F3D60FF"/>
    <w:rsid w:val="4F8C0882"/>
    <w:rsid w:val="4FA44267"/>
    <w:rsid w:val="4FAC1E5E"/>
    <w:rsid w:val="4FF75480"/>
    <w:rsid w:val="4FF854AE"/>
    <w:rsid w:val="500F26A9"/>
    <w:rsid w:val="50A60D78"/>
    <w:rsid w:val="50D12769"/>
    <w:rsid w:val="511B27A1"/>
    <w:rsid w:val="51276734"/>
    <w:rsid w:val="517640EE"/>
    <w:rsid w:val="5194365C"/>
    <w:rsid w:val="51AF5901"/>
    <w:rsid w:val="51C8540E"/>
    <w:rsid w:val="51FE2C9C"/>
    <w:rsid w:val="520F05B7"/>
    <w:rsid w:val="52E919C7"/>
    <w:rsid w:val="52F54004"/>
    <w:rsid w:val="533E4443"/>
    <w:rsid w:val="53712E00"/>
    <w:rsid w:val="53843FE9"/>
    <w:rsid w:val="539F0A94"/>
    <w:rsid w:val="53A54518"/>
    <w:rsid w:val="53B33A6A"/>
    <w:rsid w:val="53C05426"/>
    <w:rsid w:val="542029A3"/>
    <w:rsid w:val="54242333"/>
    <w:rsid w:val="546C3CC5"/>
    <w:rsid w:val="54E55176"/>
    <w:rsid w:val="55072511"/>
    <w:rsid w:val="55A8684C"/>
    <w:rsid w:val="55AB141B"/>
    <w:rsid w:val="55C53E1D"/>
    <w:rsid w:val="55D108AD"/>
    <w:rsid w:val="55F04C7E"/>
    <w:rsid w:val="55F466CE"/>
    <w:rsid w:val="56092E7F"/>
    <w:rsid w:val="56410428"/>
    <w:rsid w:val="56583798"/>
    <w:rsid w:val="56C766CC"/>
    <w:rsid w:val="56D1299C"/>
    <w:rsid w:val="573E2409"/>
    <w:rsid w:val="57DD7D4B"/>
    <w:rsid w:val="581E75BA"/>
    <w:rsid w:val="58246AFF"/>
    <w:rsid w:val="58322831"/>
    <w:rsid w:val="58483A19"/>
    <w:rsid w:val="585D4485"/>
    <w:rsid w:val="58801E3E"/>
    <w:rsid w:val="58ED190C"/>
    <w:rsid w:val="58F03690"/>
    <w:rsid w:val="58F335D3"/>
    <w:rsid w:val="5906339C"/>
    <w:rsid w:val="597252F2"/>
    <w:rsid w:val="597578E7"/>
    <w:rsid w:val="59912C74"/>
    <w:rsid w:val="599C04BB"/>
    <w:rsid w:val="599C0E6D"/>
    <w:rsid w:val="59B06497"/>
    <w:rsid w:val="59C87211"/>
    <w:rsid w:val="5A045708"/>
    <w:rsid w:val="5A22286F"/>
    <w:rsid w:val="5A4124BE"/>
    <w:rsid w:val="5A4178A0"/>
    <w:rsid w:val="5A4C6B33"/>
    <w:rsid w:val="5A702091"/>
    <w:rsid w:val="5A727F7D"/>
    <w:rsid w:val="5A82661E"/>
    <w:rsid w:val="5AB23E9D"/>
    <w:rsid w:val="5AFD6654"/>
    <w:rsid w:val="5B120263"/>
    <w:rsid w:val="5B300697"/>
    <w:rsid w:val="5B512DDC"/>
    <w:rsid w:val="5B5742AD"/>
    <w:rsid w:val="5BC17749"/>
    <w:rsid w:val="5BD045A1"/>
    <w:rsid w:val="5C0D63D9"/>
    <w:rsid w:val="5C3126C4"/>
    <w:rsid w:val="5C933840"/>
    <w:rsid w:val="5CD61591"/>
    <w:rsid w:val="5CE67C84"/>
    <w:rsid w:val="5CED200A"/>
    <w:rsid w:val="5D1E4000"/>
    <w:rsid w:val="5D972A24"/>
    <w:rsid w:val="5DD52C7F"/>
    <w:rsid w:val="5DFD39BB"/>
    <w:rsid w:val="5E145E5D"/>
    <w:rsid w:val="5ED006E5"/>
    <w:rsid w:val="5F9F32AF"/>
    <w:rsid w:val="60176D86"/>
    <w:rsid w:val="60331DEE"/>
    <w:rsid w:val="604F0752"/>
    <w:rsid w:val="606257A8"/>
    <w:rsid w:val="60B31380"/>
    <w:rsid w:val="60E54EA8"/>
    <w:rsid w:val="611539B6"/>
    <w:rsid w:val="61171AD8"/>
    <w:rsid w:val="616B56ED"/>
    <w:rsid w:val="616B654B"/>
    <w:rsid w:val="618B3CD0"/>
    <w:rsid w:val="624534F5"/>
    <w:rsid w:val="62A6294E"/>
    <w:rsid w:val="63044801"/>
    <w:rsid w:val="63121273"/>
    <w:rsid w:val="63301AE6"/>
    <w:rsid w:val="633E50F7"/>
    <w:rsid w:val="636463E3"/>
    <w:rsid w:val="6384097D"/>
    <w:rsid w:val="63E101EE"/>
    <w:rsid w:val="63E359ED"/>
    <w:rsid w:val="642C46BB"/>
    <w:rsid w:val="64392CA4"/>
    <w:rsid w:val="64897A8C"/>
    <w:rsid w:val="648E4DDB"/>
    <w:rsid w:val="64D82A65"/>
    <w:rsid w:val="650B5081"/>
    <w:rsid w:val="65100711"/>
    <w:rsid w:val="651D454D"/>
    <w:rsid w:val="653E77AD"/>
    <w:rsid w:val="657936D7"/>
    <w:rsid w:val="659C6614"/>
    <w:rsid w:val="65AF2DF6"/>
    <w:rsid w:val="65B14824"/>
    <w:rsid w:val="65C307BD"/>
    <w:rsid w:val="664765F5"/>
    <w:rsid w:val="66627CC4"/>
    <w:rsid w:val="66763969"/>
    <w:rsid w:val="66A25372"/>
    <w:rsid w:val="66CB156D"/>
    <w:rsid w:val="67237AD3"/>
    <w:rsid w:val="67452AEE"/>
    <w:rsid w:val="676E69BF"/>
    <w:rsid w:val="683F45C8"/>
    <w:rsid w:val="68866387"/>
    <w:rsid w:val="68AD5098"/>
    <w:rsid w:val="68D51C53"/>
    <w:rsid w:val="69752CD6"/>
    <w:rsid w:val="698448DF"/>
    <w:rsid w:val="69AE677E"/>
    <w:rsid w:val="69DC09E3"/>
    <w:rsid w:val="6A0B650F"/>
    <w:rsid w:val="6A214166"/>
    <w:rsid w:val="6A3228E1"/>
    <w:rsid w:val="6A3B6DD7"/>
    <w:rsid w:val="6A540677"/>
    <w:rsid w:val="6AEA2481"/>
    <w:rsid w:val="6AEB6F28"/>
    <w:rsid w:val="6AF62F15"/>
    <w:rsid w:val="6B062AA5"/>
    <w:rsid w:val="6B831B5E"/>
    <w:rsid w:val="6BBC57F8"/>
    <w:rsid w:val="6BE82315"/>
    <w:rsid w:val="6BF971CF"/>
    <w:rsid w:val="6C1412A7"/>
    <w:rsid w:val="6C2B4D97"/>
    <w:rsid w:val="6C373CAF"/>
    <w:rsid w:val="6CA07E84"/>
    <w:rsid w:val="6D362374"/>
    <w:rsid w:val="6D3C51C6"/>
    <w:rsid w:val="6D3F28C7"/>
    <w:rsid w:val="6D7A1AF8"/>
    <w:rsid w:val="6DD64F14"/>
    <w:rsid w:val="6DEF2C18"/>
    <w:rsid w:val="6E0B2FD7"/>
    <w:rsid w:val="6E0F1FD1"/>
    <w:rsid w:val="6E1B1E95"/>
    <w:rsid w:val="6E545FFD"/>
    <w:rsid w:val="6E7750AC"/>
    <w:rsid w:val="6E834054"/>
    <w:rsid w:val="6EB34681"/>
    <w:rsid w:val="6ED57CCF"/>
    <w:rsid w:val="6ED60BCC"/>
    <w:rsid w:val="6EE00451"/>
    <w:rsid w:val="6EE12339"/>
    <w:rsid w:val="6FB74910"/>
    <w:rsid w:val="6FD257CC"/>
    <w:rsid w:val="6FEC20C3"/>
    <w:rsid w:val="6FED0C2C"/>
    <w:rsid w:val="700233CF"/>
    <w:rsid w:val="7002654D"/>
    <w:rsid w:val="707C374D"/>
    <w:rsid w:val="710605AD"/>
    <w:rsid w:val="710B4F07"/>
    <w:rsid w:val="711E3826"/>
    <w:rsid w:val="71663413"/>
    <w:rsid w:val="71690E30"/>
    <w:rsid w:val="71E0137E"/>
    <w:rsid w:val="720A37A4"/>
    <w:rsid w:val="721D7EE5"/>
    <w:rsid w:val="724B7048"/>
    <w:rsid w:val="726A4AC3"/>
    <w:rsid w:val="727C0AB7"/>
    <w:rsid w:val="72866634"/>
    <w:rsid w:val="72A02188"/>
    <w:rsid w:val="72EA39E8"/>
    <w:rsid w:val="72FA245F"/>
    <w:rsid w:val="73116555"/>
    <w:rsid w:val="731F17F6"/>
    <w:rsid w:val="732112BC"/>
    <w:rsid w:val="73501DA8"/>
    <w:rsid w:val="736C5E47"/>
    <w:rsid w:val="737644C3"/>
    <w:rsid w:val="739166EE"/>
    <w:rsid w:val="73C90B91"/>
    <w:rsid w:val="73CB07F0"/>
    <w:rsid w:val="74020FEE"/>
    <w:rsid w:val="74074063"/>
    <w:rsid w:val="740D12B5"/>
    <w:rsid w:val="74321EB0"/>
    <w:rsid w:val="75133243"/>
    <w:rsid w:val="751C36F1"/>
    <w:rsid w:val="751C42F2"/>
    <w:rsid w:val="75EA4B41"/>
    <w:rsid w:val="762A7527"/>
    <w:rsid w:val="764807CE"/>
    <w:rsid w:val="76590B73"/>
    <w:rsid w:val="76AE57C4"/>
    <w:rsid w:val="76B305FF"/>
    <w:rsid w:val="76B54FA0"/>
    <w:rsid w:val="76EE139A"/>
    <w:rsid w:val="77056FF5"/>
    <w:rsid w:val="771475EC"/>
    <w:rsid w:val="77230E93"/>
    <w:rsid w:val="773C1E98"/>
    <w:rsid w:val="774E6A35"/>
    <w:rsid w:val="776932B4"/>
    <w:rsid w:val="777B66C5"/>
    <w:rsid w:val="778B28B2"/>
    <w:rsid w:val="778B773B"/>
    <w:rsid w:val="779C50F7"/>
    <w:rsid w:val="77BD10DF"/>
    <w:rsid w:val="77CD4C1A"/>
    <w:rsid w:val="77E625CD"/>
    <w:rsid w:val="77E71671"/>
    <w:rsid w:val="77F71545"/>
    <w:rsid w:val="780C4883"/>
    <w:rsid w:val="784604B6"/>
    <w:rsid w:val="784D0616"/>
    <w:rsid w:val="788A254F"/>
    <w:rsid w:val="78D54013"/>
    <w:rsid w:val="79484077"/>
    <w:rsid w:val="796E4FAC"/>
    <w:rsid w:val="79793016"/>
    <w:rsid w:val="797C5737"/>
    <w:rsid w:val="79C52929"/>
    <w:rsid w:val="79E40416"/>
    <w:rsid w:val="7A1D39D4"/>
    <w:rsid w:val="7A2618F6"/>
    <w:rsid w:val="7A8B3956"/>
    <w:rsid w:val="7A9013A6"/>
    <w:rsid w:val="7AA5146A"/>
    <w:rsid w:val="7AA6679E"/>
    <w:rsid w:val="7ABB14C2"/>
    <w:rsid w:val="7AD23D1F"/>
    <w:rsid w:val="7ADE2B54"/>
    <w:rsid w:val="7AF33B8D"/>
    <w:rsid w:val="7AF8685D"/>
    <w:rsid w:val="7B2A1F66"/>
    <w:rsid w:val="7B2F6525"/>
    <w:rsid w:val="7B332FE9"/>
    <w:rsid w:val="7B3F183B"/>
    <w:rsid w:val="7B445194"/>
    <w:rsid w:val="7B9D37B9"/>
    <w:rsid w:val="7BA82BCD"/>
    <w:rsid w:val="7BC676C0"/>
    <w:rsid w:val="7BCE79CE"/>
    <w:rsid w:val="7BD95CC6"/>
    <w:rsid w:val="7BDC361F"/>
    <w:rsid w:val="7BE0610B"/>
    <w:rsid w:val="7C016A1E"/>
    <w:rsid w:val="7C3D05A4"/>
    <w:rsid w:val="7C403AAB"/>
    <w:rsid w:val="7C8810E0"/>
    <w:rsid w:val="7CCA7F2E"/>
    <w:rsid w:val="7CF17B7D"/>
    <w:rsid w:val="7D1B11FB"/>
    <w:rsid w:val="7D230C1A"/>
    <w:rsid w:val="7D581D43"/>
    <w:rsid w:val="7DA60BF1"/>
    <w:rsid w:val="7DBC5827"/>
    <w:rsid w:val="7E42696E"/>
    <w:rsid w:val="7E632050"/>
    <w:rsid w:val="7E7F6FF6"/>
    <w:rsid w:val="7EAD1FD5"/>
    <w:rsid w:val="7EC77A4C"/>
    <w:rsid w:val="7EEC5EC6"/>
    <w:rsid w:val="7EF1672C"/>
    <w:rsid w:val="7EF77A0C"/>
    <w:rsid w:val="7EFB1377"/>
    <w:rsid w:val="7F6C3F0B"/>
    <w:rsid w:val="7F7614CA"/>
    <w:rsid w:val="7F8515A0"/>
    <w:rsid w:val="7FED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qFormat="1" w:unhideWhenUsed="0" w:uiPriority="0" w:semiHidden="0"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link w:val="73"/>
    <w:qFormat/>
    <w:uiPriority w:val="9"/>
    <w:pPr>
      <w:keepNext/>
      <w:numPr>
        <w:ilvl w:val="0"/>
        <w:numId w:val="1"/>
      </w:numPr>
      <w:pBdr>
        <w:top w:val="single" w:color="auto" w:sz="12" w:space="1"/>
      </w:pBdr>
      <w:spacing w:before="240"/>
      <w:outlineLvl w:val="0"/>
    </w:pPr>
    <w:rPr>
      <w:rFonts w:ascii="Arial" w:hAnsi="Arial"/>
      <w:sz w:val="28"/>
    </w:rPr>
  </w:style>
  <w:style w:type="paragraph" w:styleId="3">
    <w:name w:val="heading 2"/>
    <w:basedOn w:val="2"/>
    <w:next w:val="1"/>
    <w:link w:val="74"/>
    <w:qFormat/>
    <w:uiPriority w:val="9"/>
    <w:pPr>
      <w:numPr>
        <w:ilvl w:val="1"/>
      </w:numPr>
      <w:spacing w:before="180"/>
      <w:outlineLvl w:val="1"/>
    </w:pPr>
    <w:rPr>
      <w:sz w:val="24"/>
    </w:rPr>
  </w:style>
  <w:style w:type="paragraph" w:styleId="4">
    <w:name w:val="heading 3"/>
    <w:basedOn w:val="3"/>
    <w:next w:val="1"/>
    <w:link w:val="75"/>
    <w:qFormat/>
    <w:uiPriority w:val="0"/>
    <w:pPr>
      <w:numPr>
        <w:ilvl w:val="2"/>
      </w:numPr>
      <w:spacing w:before="120"/>
      <w:outlineLvl w:val="2"/>
    </w:pPr>
  </w:style>
  <w:style w:type="paragraph" w:styleId="5">
    <w:name w:val="heading 4"/>
    <w:basedOn w:val="4"/>
    <w:next w:val="1"/>
    <w:link w:val="76"/>
    <w:qFormat/>
    <w:uiPriority w:val="0"/>
    <w:pPr>
      <w:numPr>
        <w:ilvl w:val="3"/>
      </w:numPr>
      <w:outlineLvl w:val="3"/>
    </w:pPr>
  </w:style>
  <w:style w:type="paragraph" w:styleId="6">
    <w:name w:val="heading 5"/>
    <w:basedOn w:val="5"/>
    <w:next w:val="1"/>
    <w:link w:val="77"/>
    <w:qFormat/>
    <w:uiPriority w:val="0"/>
    <w:pPr>
      <w:numPr>
        <w:ilvl w:val="4"/>
      </w:numPr>
      <w:outlineLvl w:val="4"/>
    </w:pPr>
  </w:style>
  <w:style w:type="paragraph" w:styleId="7">
    <w:name w:val="heading 6"/>
    <w:basedOn w:val="1"/>
    <w:next w:val="1"/>
    <w:link w:val="78"/>
    <w:qFormat/>
    <w:uiPriority w:val="0"/>
    <w:pPr>
      <w:keepNext/>
      <w:numPr>
        <w:ilvl w:val="5"/>
        <w:numId w:val="1"/>
      </w:numPr>
      <w:spacing w:before="120"/>
      <w:outlineLvl w:val="5"/>
    </w:pPr>
    <w:rPr>
      <w:rFonts w:ascii="Arial" w:hAnsi="Arial"/>
    </w:rPr>
  </w:style>
  <w:style w:type="paragraph" w:styleId="8">
    <w:name w:val="heading 7"/>
    <w:basedOn w:val="1"/>
    <w:next w:val="1"/>
    <w:link w:val="79"/>
    <w:qFormat/>
    <w:uiPriority w:val="0"/>
    <w:pPr>
      <w:keepNext/>
      <w:numPr>
        <w:ilvl w:val="6"/>
        <w:numId w:val="1"/>
      </w:numPr>
      <w:spacing w:before="120"/>
      <w:outlineLvl w:val="6"/>
    </w:pPr>
    <w:rPr>
      <w:rFonts w:ascii="Arial" w:hAnsi="Arial"/>
    </w:rPr>
  </w:style>
  <w:style w:type="paragraph" w:styleId="9">
    <w:name w:val="heading 8"/>
    <w:basedOn w:val="1"/>
    <w:next w:val="1"/>
    <w:link w:val="80"/>
    <w:qFormat/>
    <w:uiPriority w:val="0"/>
    <w:pPr>
      <w:keepNext/>
      <w:numPr>
        <w:ilvl w:val="7"/>
        <w:numId w:val="1"/>
      </w:numPr>
      <w:spacing w:before="120"/>
      <w:outlineLvl w:val="7"/>
    </w:pPr>
    <w:rPr>
      <w:rFonts w:ascii="Arial" w:hAnsi="Arial"/>
    </w:rPr>
  </w:style>
  <w:style w:type="paragraph" w:styleId="10">
    <w:name w:val="heading 9"/>
    <w:basedOn w:val="1"/>
    <w:next w:val="1"/>
    <w:link w:val="81"/>
    <w:qFormat/>
    <w:uiPriority w:val="0"/>
    <w:pPr>
      <w:keepNext/>
      <w:numPr>
        <w:ilvl w:val="8"/>
        <w:numId w:val="1"/>
      </w:numPr>
      <w:spacing w:before="180"/>
      <w:outlineLvl w:val="8"/>
    </w:pPr>
    <w:rPr>
      <w:rFonts w:ascii="Arial" w:hAnsi="Arial"/>
    </w:r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4"/>
    <w:qFormat/>
    <w:uiPriority w:val="0"/>
    <w:pPr>
      <w:overflowPunct w:val="0"/>
      <w:autoSpaceDE w:val="0"/>
      <w:autoSpaceDN w:val="0"/>
      <w:adjustRightInd w:val="0"/>
      <w:spacing w:before="120" w:after="360"/>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textAlignment w:val="baseline"/>
    </w:pPr>
    <w:rPr>
      <w:i/>
      <w:lang w:val="en-US"/>
    </w:rPr>
  </w:style>
  <w:style w:type="paragraph" w:styleId="31">
    <w:name w:val="Body Text"/>
    <w:basedOn w:val="1"/>
    <w:link w:val="85"/>
    <w:qFormat/>
    <w:uiPriority w:val="0"/>
    <w:rPr>
      <w:rFonts w:cs="Arial"/>
    </w:rPr>
  </w:style>
  <w:style w:type="paragraph" w:styleId="32">
    <w:name w:val="Body Text Indent"/>
    <w:basedOn w:val="1"/>
    <w:link w:val="86"/>
    <w:qFormat/>
    <w:uiPriority w:val="0"/>
    <w:pPr>
      <w:overflowPunct w:val="0"/>
      <w:autoSpaceDE w:val="0"/>
      <w:autoSpaceDN w:val="0"/>
      <w:adjustRightInd w:val="0"/>
      <w:spacing w:before="24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List Number 4"/>
    <w:basedOn w:val="1"/>
    <w:qFormat/>
    <w:uiPriority w:val="0"/>
    <w:pPr>
      <w:widowControl w:val="0"/>
      <w:numPr>
        <w:ilvl w:val="0"/>
        <w:numId w:val="2"/>
      </w:numPr>
      <w:tabs>
        <w:tab w:val="left" w:pos="1209"/>
      </w:tabs>
      <w:spacing w:after="0"/>
      <w:ind w:left="1209"/>
    </w:pPr>
    <w:rPr>
      <w:rFonts w:eastAsia="MS Mincho" w:asciiTheme="minorHAnsi" w:hAnsiTheme="minorHAnsi" w:cstheme="minorBidi"/>
      <w:kern w:val="2"/>
      <w:sz w:val="21"/>
      <w:szCs w:val="22"/>
      <w:lang w:val="en-US" w:eastAsia="en-GB"/>
    </w:rPr>
  </w:style>
  <w:style w:type="paragraph" w:styleId="35">
    <w:name w:val="toc 8"/>
    <w:basedOn w:val="20"/>
    <w:next w:val="1"/>
    <w:semiHidden/>
    <w:qFormat/>
    <w:uiPriority w:val="0"/>
    <w:pPr>
      <w:spacing w:before="180"/>
      <w:ind w:left="2693" w:hanging="2693"/>
    </w:pPr>
    <w:rPr>
      <w:b/>
    </w:rPr>
  </w:style>
  <w:style w:type="paragraph" w:styleId="36">
    <w:name w:val="Balloon Text"/>
    <w:basedOn w:val="1"/>
    <w:link w:val="60"/>
    <w:unhideWhenUsed/>
    <w:qFormat/>
    <w:uiPriority w:val="99"/>
    <w:rPr>
      <w:rFonts w:ascii="Segoe UI" w:hAnsi="Segoe UI" w:cs="Segoe UI"/>
      <w:sz w:val="18"/>
      <w:szCs w:val="18"/>
    </w:rPr>
  </w:style>
  <w:style w:type="paragraph" w:styleId="37">
    <w:name w:val="footer"/>
    <w:basedOn w:val="1"/>
    <w:link w:val="87"/>
    <w:qFormat/>
    <w:uiPriority w:val="99"/>
    <w:pPr>
      <w:tabs>
        <w:tab w:val="center" w:pos="4153"/>
        <w:tab w:val="right" w:pos="8306"/>
      </w:tabs>
    </w:pPr>
  </w:style>
  <w:style w:type="paragraph" w:styleId="38">
    <w:name w:val="header"/>
    <w:basedOn w:val="1"/>
    <w:link w:val="88"/>
    <w:qFormat/>
    <w:uiPriority w:val="0"/>
    <w:pPr>
      <w:tabs>
        <w:tab w:val="center" w:pos="4153"/>
        <w:tab w:val="right" w:pos="8306"/>
      </w:tabs>
    </w:pPr>
  </w:style>
  <w:style w:type="paragraph" w:styleId="39">
    <w:name w:val="Subtitle"/>
    <w:basedOn w:val="1"/>
    <w:next w:val="1"/>
    <w:link w:val="89"/>
    <w:qFormat/>
    <w:uiPriority w:val="0"/>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40">
    <w:name w:val="footnote text"/>
    <w:basedOn w:val="1"/>
    <w:link w:val="90"/>
    <w:semiHidden/>
    <w:qFormat/>
    <w:uiPriority w:val="0"/>
    <w:pPr>
      <w:keepLines/>
      <w:overflowPunct w:val="0"/>
      <w:autoSpaceDE w:val="0"/>
      <w:autoSpaceDN w:val="0"/>
      <w:adjustRightInd w:val="0"/>
      <w:spacing w:after="0"/>
      <w:ind w:left="454" w:hanging="454"/>
      <w:textAlignment w:val="baseline"/>
    </w:pPr>
    <w:rPr>
      <w:sz w:val="16"/>
      <w:lang w:val="en-US"/>
    </w:rPr>
  </w:style>
  <w:style w:type="paragraph" w:styleId="41">
    <w:name w:val="List 5"/>
    <w:basedOn w:val="42"/>
    <w:qFormat/>
    <w:uiPriority w:val="0"/>
    <w:pPr>
      <w:ind w:left="1702"/>
    </w:pPr>
  </w:style>
  <w:style w:type="paragraph" w:styleId="42">
    <w:name w:val="List 4"/>
    <w:basedOn w:val="11"/>
    <w:qFormat/>
    <w:uiPriority w:val="0"/>
    <w:pPr>
      <w:ind w:left="1418"/>
    </w:pPr>
  </w:style>
  <w:style w:type="paragraph" w:styleId="43">
    <w:name w:val="table of figures"/>
    <w:basedOn w:val="1"/>
    <w:next w:val="1"/>
    <w:unhideWhenUsed/>
    <w:qFormat/>
    <w:uiPriority w:val="99"/>
    <w:pPr>
      <w:overflowPunct w:val="0"/>
      <w:autoSpaceDE w:val="0"/>
      <w:autoSpaceDN w:val="0"/>
      <w:adjustRightInd w:val="0"/>
      <w:spacing w:before="120"/>
      <w:textAlignment w:val="baseline"/>
    </w:pPr>
    <w:rPr>
      <w:lang w:val="en-US"/>
    </w:rPr>
  </w:style>
  <w:style w:type="paragraph" w:styleId="44">
    <w:name w:val="toc 9"/>
    <w:basedOn w:val="35"/>
    <w:next w:val="1"/>
    <w:semiHidden/>
    <w:qFormat/>
    <w:uiPriority w:val="0"/>
    <w:pPr>
      <w:ind w:left="1418" w:hanging="1418"/>
    </w:pPr>
  </w:style>
  <w:style w:type="paragraph" w:styleId="45">
    <w:name w:val="Body Text 2"/>
    <w:basedOn w:val="1"/>
    <w:link w:val="91"/>
    <w:qFormat/>
    <w:uiPriority w:val="0"/>
    <w:pPr>
      <w:tabs>
        <w:tab w:val="left" w:pos="1985"/>
      </w:tabs>
      <w:overflowPunct w:val="0"/>
      <w:autoSpaceDE w:val="0"/>
      <w:autoSpaceDN w:val="0"/>
      <w:adjustRightInd w:val="0"/>
      <w:spacing w:after="0"/>
      <w:textAlignment w:val="baseline"/>
    </w:pPr>
    <w:rPr>
      <w:rFonts w:ascii="Arial" w:hAnsi="Arial"/>
      <w:sz w:val="22"/>
      <w:lang w:val="en-US"/>
    </w:rPr>
  </w:style>
  <w:style w:type="paragraph" w:styleId="46">
    <w:name w:val="Normal (Web)"/>
    <w:basedOn w:val="1"/>
    <w:unhideWhenUsed/>
    <w:qFormat/>
    <w:uiPriority w:val="0"/>
    <w:pPr>
      <w:spacing w:before="100" w:beforeAutospacing="1" w:after="100" w:afterAutospacing="1"/>
    </w:pPr>
    <w:rPr>
      <w:sz w:val="24"/>
      <w:szCs w:val="24"/>
      <w:lang w:val="en-US"/>
    </w:rPr>
  </w:style>
  <w:style w:type="paragraph" w:styleId="47">
    <w:name w:val="index 1"/>
    <w:basedOn w:val="1"/>
    <w:next w:val="1"/>
    <w:semiHidden/>
    <w:qFormat/>
    <w:uiPriority w:val="0"/>
    <w:pPr>
      <w:keepLines/>
      <w:overflowPunct w:val="0"/>
      <w:autoSpaceDE w:val="0"/>
      <w:autoSpaceDN w:val="0"/>
      <w:adjustRightInd w:val="0"/>
      <w:spacing w:after="0"/>
      <w:textAlignment w:val="baseline"/>
    </w:pPr>
    <w:rPr>
      <w:lang w:val="en-US"/>
    </w:rPr>
  </w:style>
  <w:style w:type="paragraph" w:styleId="48">
    <w:name w:val="index 2"/>
    <w:basedOn w:val="47"/>
    <w:next w:val="1"/>
    <w:semiHidden/>
    <w:qFormat/>
    <w:uiPriority w:val="0"/>
    <w:pPr>
      <w:ind w:left="284"/>
    </w:pPr>
  </w:style>
  <w:style w:type="paragraph" w:styleId="49">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51">
    <w:name w:val="Table Grid"/>
    <w:basedOn w:val="50"/>
    <w:qFormat/>
    <w:uiPriority w:val="3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rPr>
  </w:style>
  <w:style w:type="character" w:styleId="59">
    <w:name w:val="footnote reference"/>
    <w:semiHidden/>
    <w:qFormat/>
    <w:uiPriority w:val="0"/>
    <w:rPr>
      <w:b/>
      <w:position w:val="6"/>
      <w:sz w:val="16"/>
    </w:rPr>
  </w:style>
  <w:style w:type="character" w:customStyle="1" w:styleId="60">
    <w:name w:val="批注框文本 字符"/>
    <w:link w:val="36"/>
    <w:semiHidden/>
    <w:qFormat/>
    <w:uiPriority w:val="99"/>
    <w:rPr>
      <w:rFonts w:ascii="Segoe UI" w:hAnsi="Segoe UI" w:cs="Segoe UI"/>
      <w:sz w:val="18"/>
      <w:szCs w:val="18"/>
      <w:lang w:eastAsia="en-US"/>
    </w:rPr>
  </w:style>
  <w:style w:type="paragraph" w:customStyle="1" w:styleId="61">
    <w:name w:val="DECISION"/>
    <w:basedOn w:val="1"/>
    <w:qFormat/>
    <w:uiPriority w:val="0"/>
    <w:pPr>
      <w:widowControl w:val="0"/>
      <w:numPr>
        <w:ilvl w:val="0"/>
        <w:numId w:val="3"/>
      </w:numPr>
      <w:spacing w:before="120"/>
    </w:pPr>
    <w:rPr>
      <w:rFonts w:ascii="Arial" w:hAnsi="Arial"/>
      <w:b/>
      <w:color w:val="0000FF"/>
      <w:u w:val="single"/>
    </w:rPr>
  </w:style>
  <w:style w:type="paragraph" w:customStyle="1" w:styleId="62">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3">
    <w:name w:val="done"/>
    <w:basedOn w:val="62"/>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4">
    <w:name w:val="Not Done"/>
    <w:basedOn w:val="63"/>
    <w:qFormat/>
    <w:uiPriority w:val="0"/>
    <w:pPr>
      <w:numPr>
        <w:numId w:val="6"/>
      </w:numPr>
      <w:tabs>
        <w:tab w:val="left" w:pos="0"/>
      </w:tabs>
    </w:pPr>
    <w:rPr>
      <w:color w:val="FF0000"/>
    </w:rPr>
  </w:style>
  <w:style w:type="paragraph" w:styleId="65">
    <w:name w:val="List Paragraph"/>
    <w:basedOn w:val="1"/>
    <w:link w:val="152"/>
    <w:qFormat/>
    <w:uiPriority w:val="34"/>
    <w:pPr>
      <w:ind w:left="720"/>
    </w:pPr>
  </w:style>
  <w:style w:type="character" w:customStyle="1" w:styleId="66">
    <w:name w:val="不明显参考1"/>
    <w:qFormat/>
    <w:uiPriority w:val="31"/>
    <w:rPr>
      <w:smallCaps/>
      <w:color w:val="5A5A5A"/>
    </w:rPr>
  </w:style>
  <w:style w:type="paragraph" w:customStyle="1" w:styleId="67">
    <w:name w:val="References"/>
    <w:basedOn w:val="1"/>
    <w:link w:val="68"/>
    <w:qFormat/>
    <w:uiPriority w:val="0"/>
    <w:pPr>
      <w:numPr>
        <w:ilvl w:val="0"/>
        <w:numId w:val="7"/>
      </w:numPr>
      <w:spacing w:after="60"/>
      <w:ind w:left="357" w:hanging="357"/>
    </w:pPr>
  </w:style>
  <w:style w:type="character" w:customStyle="1" w:styleId="68">
    <w:name w:val="References 字符"/>
    <w:link w:val="67"/>
    <w:qFormat/>
    <w:uiPriority w:val="0"/>
    <w:rPr>
      <w:lang w:val="en-GB" w:eastAsia="en-US"/>
    </w:rPr>
  </w:style>
  <w:style w:type="paragraph" w:styleId="69">
    <w:name w:val="Quote"/>
    <w:basedOn w:val="1"/>
    <w:next w:val="1"/>
    <w:link w:val="70"/>
    <w:qFormat/>
    <w:uiPriority w:val="29"/>
    <w:pPr>
      <w:spacing w:before="200" w:after="160"/>
      <w:ind w:left="864" w:right="864"/>
      <w:jc w:val="center"/>
    </w:pPr>
    <w:rPr>
      <w:i/>
      <w:iCs/>
      <w:color w:val="404040"/>
    </w:rPr>
  </w:style>
  <w:style w:type="character" w:customStyle="1" w:styleId="70">
    <w:name w:val="引用 字符"/>
    <w:link w:val="69"/>
    <w:qFormat/>
    <w:uiPriority w:val="29"/>
    <w:rPr>
      <w:i/>
      <w:iCs/>
      <w:color w:val="404040"/>
      <w:lang w:val="en-GB" w:eastAsia="en-US"/>
    </w:rPr>
  </w:style>
  <w:style w:type="character" w:customStyle="1" w:styleId="71">
    <w:name w:val="书籍标题1"/>
    <w:qFormat/>
    <w:uiPriority w:val="33"/>
    <w:rPr>
      <w:b/>
      <w:bCs/>
      <w:i/>
      <w:iCs/>
      <w:spacing w:val="5"/>
    </w:rPr>
  </w:style>
  <w:style w:type="paragraph" w:styleId="72">
    <w:name w:val="No Spacing"/>
    <w:qFormat/>
    <w:uiPriority w:val="1"/>
    <w:rPr>
      <w:rFonts w:ascii="Times New Roman" w:hAnsi="Times New Roman" w:eastAsia="Times New Roman" w:cs="Times New Roman"/>
      <w:lang w:val="en-GB" w:eastAsia="en-US" w:bidi="ar-SA"/>
    </w:rPr>
  </w:style>
  <w:style w:type="character" w:customStyle="1" w:styleId="73">
    <w:name w:val="标题 1 字符"/>
    <w:basedOn w:val="52"/>
    <w:link w:val="2"/>
    <w:qFormat/>
    <w:uiPriority w:val="9"/>
    <w:rPr>
      <w:rFonts w:ascii="Arial" w:hAnsi="Arial"/>
      <w:sz w:val="28"/>
      <w:lang w:val="en-GB" w:eastAsia="en-US"/>
    </w:rPr>
  </w:style>
  <w:style w:type="character" w:customStyle="1" w:styleId="74">
    <w:name w:val="标题 2 字符"/>
    <w:basedOn w:val="52"/>
    <w:link w:val="3"/>
    <w:qFormat/>
    <w:uiPriority w:val="9"/>
    <w:rPr>
      <w:rFonts w:ascii="Arial" w:hAnsi="Arial"/>
      <w:sz w:val="24"/>
      <w:lang w:val="en-GB" w:eastAsia="en-US"/>
    </w:rPr>
  </w:style>
  <w:style w:type="character" w:customStyle="1" w:styleId="75">
    <w:name w:val="标题 3 字符"/>
    <w:basedOn w:val="52"/>
    <w:link w:val="4"/>
    <w:qFormat/>
    <w:uiPriority w:val="0"/>
    <w:rPr>
      <w:rFonts w:ascii="Arial" w:hAnsi="Arial"/>
      <w:sz w:val="24"/>
      <w:lang w:val="en-GB" w:eastAsia="en-US"/>
    </w:rPr>
  </w:style>
  <w:style w:type="character" w:customStyle="1" w:styleId="76">
    <w:name w:val="标题 4 字符"/>
    <w:basedOn w:val="52"/>
    <w:link w:val="5"/>
    <w:qFormat/>
    <w:uiPriority w:val="0"/>
    <w:rPr>
      <w:rFonts w:ascii="Arial" w:hAnsi="Arial"/>
      <w:lang w:val="en-GB" w:eastAsia="en-US"/>
    </w:rPr>
  </w:style>
  <w:style w:type="character" w:customStyle="1" w:styleId="77">
    <w:name w:val="标题 5 字符"/>
    <w:basedOn w:val="52"/>
    <w:link w:val="6"/>
    <w:qFormat/>
    <w:uiPriority w:val="0"/>
    <w:rPr>
      <w:rFonts w:ascii="Arial" w:hAnsi="Arial"/>
      <w:lang w:val="en-GB" w:eastAsia="en-US"/>
    </w:rPr>
  </w:style>
  <w:style w:type="character" w:customStyle="1" w:styleId="78">
    <w:name w:val="标题 6 字符"/>
    <w:basedOn w:val="52"/>
    <w:link w:val="7"/>
    <w:qFormat/>
    <w:uiPriority w:val="0"/>
    <w:rPr>
      <w:rFonts w:ascii="Arial" w:hAnsi="Arial"/>
      <w:lang w:val="en-GB" w:eastAsia="en-US"/>
    </w:rPr>
  </w:style>
  <w:style w:type="character" w:customStyle="1" w:styleId="79">
    <w:name w:val="标题 7 字符"/>
    <w:basedOn w:val="52"/>
    <w:link w:val="8"/>
    <w:qFormat/>
    <w:uiPriority w:val="0"/>
    <w:rPr>
      <w:rFonts w:ascii="Arial" w:hAnsi="Arial"/>
      <w:lang w:val="en-GB" w:eastAsia="en-US"/>
    </w:rPr>
  </w:style>
  <w:style w:type="character" w:customStyle="1" w:styleId="80">
    <w:name w:val="标题 8 字符"/>
    <w:basedOn w:val="52"/>
    <w:link w:val="9"/>
    <w:qFormat/>
    <w:uiPriority w:val="0"/>
    <w:rPr>
      <w:rFonts w:ascii="Arial" w:hAnsi="Arial"/>
      <w:lang w:val="en-GB" w:eastAsia="en-US"/>
    </w:rPr>
  </w:style>
  <w:style w:type="character" w:customStyle="1" w:styleId="81">
    <w:name w:val="标题 9 字符"/>
    <w:basedOn w:val="52"/>
    <w:link w:val="10"/>
    <w:qFormat/>
    <w:uiPriority w:val="0"/>
    <w:rPr>
      <w:rFonts w:ascii="Arial" w:hAnsi="Arial"/>
      <w:lang w:val="en-GB" w:eastAsia="en-US"/>
    </w:rPr>
  </w:style>
  <w:style w:type="character" w:customStyle="1" w:styleId="82">
    <w:name w:val="文档结构图 字符"/>
    <w:basedOn w:val="52"/>
    <w:link w:val="28"/>
    <w:semiHidden/>
    <w:qFormat/>
    <w:uiPriority w:val="0"/>
    <w:rPr>
      <w:rFonts w:ascii="Tahoma" w:hAnsi="Tahoma" w:eastAsia="宋体"/>
      <w:shd w:val="clear" w:color="auto" w:fill="000080"/>
      <w:lang w:eastAsia="en-US"/>
    </w:rPr>
  </w:style>
  <w:style w:type="character" w:customStyle="1" w:styleId="83">
    <w:name w:val="批注文字 字符"/>
    <w:basedOn w:val="52"/>
    <w:qFormat/>
    <w:uiPriority w:val="0"/>
    <w:rPr>
      <w:rFonts w:ascii="Arial" w:hAnsi="Arial" w:eastAsia="Times New Roman"/>
      <w:lang w:val="en-GB" w:eastAsia="en-US"/>
    </w:rPr>
  </w:style>
  <w:style w:type="character" w:customStyle="1" w:styleId="84">
    <w:name w:val="正文文本 3 字符"/>
    <w:basedOn w:val="52"/>
    <w:link w:val="30"/>
    <w:qFormat/>
    <w:uiPriority w:val="0"/>
    <w:rPr>
      <w:rFonts w:eastAsia="宋体"/>
      <w:i/>
      <w:lang w:eastAsia="en-US"/>
    </w:rPr>
  </w:style>
  <w:style w:type="character" w:customStyle="1" w:styleId="85">
    <w:name w:val="正文文本 字符"/>
    <w:basedOn w:val="52"/>
    <w:link w:val="31"/>
    <w:qFormat/>
    <w:uiPriority w:val="0"/>
    <w:rPr>
      <w:rFonts w:cs="Arial"/>
      <w:lang w:val="en-GB" w:eastAsia="en-US"/>
    </w:rPr>
  </w:style>
  <w:style w:type="character" w:customStyle="1" w:styleId="86">
    <w:name w:val="正文文本缩进 字符"/>
    <w:basedOn w:val="52"/>
    <w:link w:val="32"/>
    <w:qFormat/>
    <w:uiPriority w:val="0"/>
    <w:rPr>
      <w:rFonts w:eastAsia="楷体_GB2312"/>
      <w:sz w:val="24"/>
      <w:lang w:eastAsia="en-US"/>
    </w:rPr>
  </w:style>
  <w:style w:type="character" w:customStyle="1" w:styleId="87">
    <w:name w:val="页脚 字符"/>
    <w:basedOn w:val="52"/>
    <w:link w:val="37"/>
    <w:qFormat/>
    <w:uiPriority w:val="99"/>
    <w:rPr>
      <w:rFonts w:eastAsia="宋体"/>
      <w:lang w:val="en-GB" w:eastAsia="en-US"/>
    </w:rPr>
  </w:style>
  <w:style w:type="character" w:customStyle="1" w:styleId="88">
    <w:name w:val="页眉 字符"/>
    <w:basedOn w:val="52"/>
    <w:link w:val="38"/>
    <w:qFormat/>
    <w:uiPriority w:val="0"/>
    <w:rPr>
      <w:rFonts w:eastAsia="宋体"/>
      <w:lang w:val="en-GB" w:eastAsia="en-US"/>
    </w:rPr>
  </w:style>
  <w:style w:type="character" w:customStyle="1" w:styleId="89">
    <w:name w:val="副标题 字符"/>
    <w:basedOn w:val="52"/>
    <w:link w:val="39"/>
    <w:qFormat/>
    <w:uiPriority w:val="0"/>
    <w:rPr>
      <w:rFonts w:ascii="Cambria" w:hAnsi="Cambria" w:eastAsia="宋体"/>
      <w:sz w:val="24"/>
      <w:szCs w:val="24"/>
      <w:lang w:eastAsia="en-US"/>
    </w:rPr>
  </w:style>
  <w:style w:type="character" w:customStyle="1" w:styleId="90">
    <w:name w:val="脚注文本 字符"/>
    <w:basedOn w:val="52"/>
    <w:link w:val="40"/>
    <w:semiHidden/>
    <w:qFormat/>
    <w:uiPriority w:val="0"/>
    <w:rPr>
      <w:rFonts w:eastAsia="宋体"/>
      <w:sz w:val="16"/>
      <w:lang w:eastAsia="en-US"/>
    </w:rPr>
  </w:style>
  <w:style w:type="character" w:customStyle="1" w:styleId="91">
    <w:name w:val="正文文本 2 字符"/>
    <w:basedOn w:val="52"/>
    <w:link w:val="45"/>
    <w:qFormat/>
    <w:uiPriority w:val="0"/>
    <w:rPr>
      <w:rFonts w:ascii="Arial" w:hAnsi="Arial" w:eastAsia="宋体"/>
      <w:sz w:val="22"/>
      <w:lang w:eastAsia="en-US"/>
    </w:rPr>
  </w:style>
  <w:style w:type="character" w:customStyle="1" w:styleId="92">
    <w:name w:val="批注文字 字符1"/>
    <w:basedOn w:val="52"/>
    <w:link w:val="29"/>
    <w:qFormat/>
    <w:uiPriority w:val="0"/>
    <w:rPr>
      <w:rFonts w:ascii="Arial" w:hAnsi="Arial" w:eastAsia="宋体"/>
      <w:lang w:val="en-GB" w:eastAsia="en-US"/>
    </w:rPr>
  </w:style>
  <w:style w:type="character" w:customStyle="1" w:styleId="93">
    <w:name w:val="批注主题 字符"/>
    <w:basedOn w:val="92"/>
    <w:link w:val="49"/>
    <w:semiHidden/>
    <w:qFormat/>
    <w:uiPriority w:val="0"/>
    <w:rPr>
      <w:rFonts w:ascii="Arial" w:hAnsi="Arial" w:eastAsia="宋体"/>
      <w:b/>
      <w:bCs/>
      <w:lang w:val="en-GB" w:eastAsia="en-US"/>
    </w:rPr>
  </w:style>
  <w:style w:type="paragraph" w:customStyle="1" w:styleId="94">
    <w:name w:val="H6"/>
    <w:basedOn w:val="6"/>
    <w:next w:val="1"/>
    <w:qFormat/>
    <w:uiPriority w:val="0"/>
    <w:pPr>
      <w:keepLines/>
      <w:overflowPunct w:val="0"/>
      <w:autoSpaceDE w:val="0"/>
      <w:autoSpaceDN w:val="0"/>
      <w:adjustRightInd w:val="0"/>
      <w:ind w:left="1985" w:hanging="1985"/>
      <w:jc w:val="left"/>
      <w:textAlignment w:val="baseline"/>
      <w:outlineLvl w:val="9"/>
    </w:p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97">
    <w:name w:val="TT"/>
    <w:basedOn w:val="2"/>
    <w:next w:val="1"/>
    <w:qFormat/>
    <w:uiPriority w:val="0"/>
    <w:pPr>
      <w:keepLines/>
      <w:pBdr>
        <w:top w:val="single" w:color="auto" w:sz="12" w:space="3"/>
      </w:pBdr>
      <w:overflowPunct w:val="0"/>
      <w:autoSpaceDE w:val="0"/>
      <w:autoSpaceDN w:val="0"/>
      <w:adjustRightInd w:val="0"/>
      <w:ind w:left="432" w:hanging="432"/>
      <w:jc w:val="left"/>
      <w:textAlignment w:val="baseline"/>
      <w:outlineLvl w:val="9"/>
    </w:pPr>
    <w:rPr>
      <w:sz w:val="36"/>
    </w:rPr>
  </w:style>
  <w:style w:type="paragraph" w:customStyle="1" w:styleId="98">
    <w:name w:val="TAH"/>
    <w:basedOn w:val="99"/>
    <w:link w:val="187"/>
    <w:qFormat/>
    <w:uiPriority w:val="0"/>
    <w:rPr>
      <w:b/>
    </w:rPr>
  </w:style>
  <w:style w:type="paragraph" w:customStyle="1" w:styleId="99">
    <w:name w:val="TAC"/>
    <w:basedOn w:val="100"/>
    <w:link w:val="150"/>
    <w:qFormat/>
    <w:uiPriority w:val="0"/>
    <w:pPr>
      <w:jc w:val="center"/>
    </w:pPr>
  </w:style>
  <w:style w:type="paragraph" w:customStyle="1" w:styleId="100">
    <w:name w:val="TAL"/>
    <w:basedOn w:val="1"/>
    <w:link w:val="178"/>
    <w:qFormat/>
    <w:uiPriority w:val="0"/>
    <w:pPr>
      <w:keepNext/>
      <w:keepLines/>
      <w:overflowPunct w:val="0"/>
      <w:autoSpaceDE w:val="0"/>
      <w:autoSpaceDN w:val="0"/>
      <w:adjustRightInd w:val="0"/>
      <w:spacing w:after="0"/>
      <w:textAlignment w:val="baseline"/>
    </w:pPr>
    <w:rPr>
      <w:rFonts w:ascii="Arial" w:hAnsi="Arial"/>
      <w:sz w:val="18"/>
      <w:lang w:val="en-US"/>
    </w:rPr>
  </w:style>
  <w:style w:type="paragraph" w:customStyle="1" w:styleId="101">
    <w:name w:val="TF"/>
    <w:basedOn w:val="102"/>
    <w:qFormat/>
    <w:uiPriority w:val="0"/>
    <w:pPr>
      <w:keepNext w:val="0"/>
      <w:spacing w:before="0" w:after="240"/>
    </w:pPr>
  </w:style>
  <w:style w:type="paragraph" w:customStyle="1" w:styleId="102">
    <w:name w:val="TH"/>
    <w:basedOn w:val="1"/>
    <w:link w:val="151"/>
    <w:qFormat/>
    <w:uiPriority w:val="0"/>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103">
    <w:name w:val="NO"/>
    <w:basedOn w:val="1"/>
    <w:link w:val="157"/>
    <w:qFormat/>
    <w:uiPriority w:val="0"/>
    <w:pPr>
      <w:keepLines/>
      <w:overflowPunct w:val="0"/>
      <w:autoSpaceDE w:val="0"/>
      <w:autoSpaceDN w:val="0"/>
      <w:adjustRightInd w:val="0"/>
      <w:ind w:left="1135" w:hanging="851"/>
      <w:textAlignment w:val="baseline"/>
    </w:pPr>
    <w:rPr>
      <w:lang w:val="en-US"/>
    </w:rPr>
  </w:style>
  <w:style w:type="paragraph" w:customStyle="1" w:styleId="104">
    <w:name w:val="EX"/>
    <w:basedOn w:val="1"/>
    <w:qFormat/>
    <w:uiPriority w:val="0"/>
    <w:pPr>
      <w:keepLines/>
      <w:overflowPunct w:val="0"/>
      <w:autoSpaceDE w:val="0"/>
      <w:autoSpaceDN w:val="0"/>
      <w:adjustRightInd w:val="0"/>
      <w:ind w:left="1702" w:hanging="1418"/>
      <w:textAlignment w:val="baseline"/>
    </w:pPr>
    <w:rPr>
      <w:lang w:val="en-US"/>
    </w:rPr>
  </w:style>
  <w:style w:type="paragraph" w:customStyle="1" w:styleId="105">
    <w:name w:val="FP"/>
    <w:basedOn w:val="1"/>
    <w:qFormat/>
    <w:uiPriority w:val="0"/>
    <w:pPr>
      <w:overflowPunct w:val="0"/>
      <w:autoSpaceDE w:val="0"/>
      <w:autoSpaceDN w:val="0"/>
      <w:adjustRightInd w:val="0"/>
      <w:spacing w:after="0"/>
      <w:textAlignment w:val="baseline"/>
    </w:pPr>
    <w:rPr>
      <w:lang w:val="en-US"/>
    </w:rPr>
  </w:style>
  <w:style w:type="paragraph" w:customStyle="1" w:styleId="10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overflowPunct w:val="0"/>
      <w:autoSpaceDE w:val="0"/>
      <w:autoSpaceDN w:val="0"/>
      <w:adjustRightInd w:val="0"/>
      <w:textAlignment w:val="baseline"/>
    </w:pPr>
    <w:rPr>
      <w:lang w:val="en-US"/>
    </w:r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2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1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1">
    <w:name w:val="Editor's Note"/>
    <w:basedOn w:val="103"/>
    <w:qFormat/>
    <w:uiPriority w:val="0"/>
    <w:rPr>
      <w:color w:val="FF0000"/>
    </w:rPr>
  </w:style>
  <w:style w:type="paragraph" w:customStyle="1" w:styleId="122">
    <w:name w:val="B1"/>
    <w:basedOn w:val="13"/>
    <w:link w:val="158"/>
    <w:qFormat/>
    <w:uiPriority w:val="0"/>
    <w:pPr>
      <w:ind w:left="284" w:firstLine="0"/>
    </w:pPr>
  </w:style>
  <w:style w:type="paragraph" w:customStyle="1" w:styleId="123">
    <w:name w:val="B2"/>
    <w:basedOn w:val="12"/>
    <w:link w:val="159"/>
    <w:qFormat/>
    <w:uiPriority w:val="0"/>
    <w:pPr>
      <w:ind w:left="567" w:firstLine="0"/>
    </w:pPr>
  </w:style>
  <w:style w:type="paragraph" w:customStyle="1" w:styleId="124">
    <w:name w:val="B3"/>
    <w:basedOn w:val="11"/>
    <w:qFormat/>
    <w:uiPriority w:val="0"/>
    <w:pPr>
      <w:ind w:left="851" w:firstLine="0"/>
    </w:pPr>
  </w:style>
  <w:style w:type="paragraph" w:customStyle="1" w:styleId="125">
    <w:name w:val="B4"/>
    <w:basedOn w:val="42"/>
    <w:qFormat/>
    <w:uiPriority w:val="0"/>
    <w:pPr>
      <w:ind w:left="1134" w:firstLine="0"/>
    </w:pPr>
  </w:style>
  <w:style w:type="paragraph" w:customStyle="1" w:styleId="126">
    <w:name w:val="B5"/>
    <w:basedOn w:val="41"/>
    <w:qFormat/>
    <w:uiPriority w:val="0"/>
    <w:pPr>
      <w:ind w:left="1418" w:firstLine="0"/>
    </w:pPr>
  </w:style>
  <w:style w:type="paragraph" w:customStyle="1" w:styleId="127">
    <w:name w:val="ZTD"/>
    <w:basedOn w:val="115"/>
    <w:qFormat/>
    <w:uiPriority w:val="0"/>
    <w:pPr>
      <w:framePr w:hRule="auto" w:y="852"/>
    </w:pPr>
    <w:rPr>
      <w:i w:val="0"/>
      <w:sz w:val="40"/>
    </w:rPr>
  </w:style>
  <w:style w:type="character" w:customStyle="1" w:styleId="128">
    <w:name w:val="MTEquationSection"/>
    <w:qFormat/>
    <w:uiPriority w:val="0"/>
    <w:rPr>
      <w:rFonts w:ascii="Arial" w:hAnsi="Arial"/>
      <w:color w:val="FF0000"/>
      <w:sz w:val="24"/>
    </w:rPr>
  </w:style>
  <w:style w:type="paragraph" w:customStyle="1" w:styleId="129">
    <w:name w:val="Bulleted o 1"/>
    <w:basedOn w:val="1"/>
    <w:qFormat/>
    <w:uiPriority w:val="0"/>
    <w:pPr>
      <w:numPr>
        <w:ilvl w:val="0"/>
        <w:numId w:val="8"/>
      </w:numPr>
      <w:overflowPunct w:val="0"/>
      <w:autoSpaceDE w:val="0"/>
      <w:autoSpaceDN w:val="0"/>
      <w:adjustRightInd w:val="0"/>
      <w:textAlignment w:val="baseline"/>
    </w:pPr>
    <w:rPr>
      <w:lang w:val="en-US"/>
    </w:rPr>
  </w:style>
  <w:style w:type="paragraph" w:customStyle="1" w:styleId="130">
    <w:name w:val="text"/>
    <w:basedOn w:val="1"/>
    <w:qFormat/>
    <w:uiPriority w:val="0"/>
    <w:pPr>
      <w:overflowPunct w:val="0"/>
      <w:autoSpaceDE w:val="0"/>
      <w:autoSpaceDN w:val="0"/>
      <w:adjustRightInd w:val="0"/>
      <w:spacing w:after="240"/>
      <w:textAlignment w:val="baseline"/>
    </w:pPr>
    <w:rPr>
      <w:sz w:val="24"/>
      <w:lang w:val="en-US" w:eastAsia="zh-CN"/>
    </w:rPr>
  </w:style>
  <w:style w:type="paragraph" w:customStyle="1" w:styleId="131">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32">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134">
    <w:name w:val="table"/>
    <w:basedOn w:val="130"/>
    <w:next w:val="130"/>
    <w:qFormat/>
    <w:uiPriority w:val="0"/>
    <w:pPr>
      <w:spacing w:after="0"/>
      <w:jc w:val="center"/>
    </w:pPr>
    <w:rPr>
      <w:sz w:val="20"/>
    </w:rPr>
  </w:style>
  <w:style w:type="paragraph" w:customStyle="1" w:styleId="135">
    <w:name w:val="body Char Char Char"/>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136">
    <w:name w:val="Heading 1 Char"/>
    <w:qFormat/>
    <w:uiPriority w:val="0"/>
    <w:rPr>
      <w:rFonts w:ascii="Arial" w:hAnsi="Arial"/>
      <w:sz w:val="36"/>
      <w:lang w:val="en-GB" w:eastAsia="en-US" w:bidi="ar-SA"/>
    </w:rPr>
  </w:style>
  <w:style w:type="paragraph" w:customStyle="1" w:styleId="137">
    <w:name w:val="body"/>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138">
    <w:name w:val="CR Cover Page"/>
    <w:qFormat/>
    <w:uiPriority w:val="0"/>
    <w:pPr>
      <w:spacing w:after="120"/>
    </w:pPr>
    <w:rPr>
      <w:rFonts w:ascii="Arial" w:hAnsi="Arial" w:eastAsia="MS Mincho" w:cs="Times New Roman"/>
      <w:lang w:val="en-GB" w:eastAsia="en-US" w:bidi="ar-SA"/>
    </w:rPr>
  </w:style>
  <w:style w:type="character" w:customStyle="1" w:styleId="139">
    <w:name w:val="Char Char3"/>
    <w:qFormat/>
    <w:uiPriority w:val="0"/>
    <w:rPr>
      <w:rFonts w:ascii="Arial" w:hAnsi="Arial"/>
      <w:sz w:val="36"/>
      <w:lang w:val="en-GB" w:eastAsia="en-US" w:bidi="ar-SA"/>
    </w:rPr>
  </w:style>
  <w:style w:type="character" w:customStyle="1" w:styleId="140">
    <w:name w:val="Char Char2"/>
    <w:qFormat/>
    <w:uiPriority w:val="0"/>
    <w:rPr>
      <w:rFonts w:ascii="Arial" w:hAnsi="Arial"/>
      <w:sz w:val="32"/>
      <w:lang w:val="en-GB" w:eastAsia="en-US" w:bidi="ar-SA"/>
    </w:rPr>
  </w:style>
  <w:style w:type="character" w:customStyle="1" w:styleId="141">
    <w:name w:val="Char Char1"/>
    <w:qFormat/>
    <w:uiPriority w:val="0"/>
    <w:rPr>
      <w:rFonts w:ascii="Arial" w:hAnsi="Arial"/>
      <w:sz w:val="28"/>
      <w:lang w:val="en-GB" w:eastAsia="en-US" w:bidi="ar-SA"/>
    </w:rPr>
  </w:style>
  <w:style w:type="character" w:customStyle="1" w:styleId="142">
    <w:name w:val="h4 Char Char"/>
    <w:qFormat/>
    <w:uiPriority w:val="0"/>
    <w:rPr>
      <w:rFonts w:ascii="Arial" w:hAnsi="Arial"/>
      <w:sz w:val="24"/>
      <w:lang w:val="en-GB" w:eastAsia="en-US" w:bidi="ar-SA"/>
    </w:rPr>
  </w:style>
  <w:style w:type="character" w:customStyle="1" w:styleId="143">
    <w:name w:val="Char Char"/>
    <w:qFormat/>
    <w:uiPriority w:val="0"/>
    <w:rPr>
      <w:rFonts w:ascii="Arial" w:hAnsi="Arial"/>
      <w:sz w:val="22"/>
      <w:lang w:val="en-GB" w:eastAsia="en-US" w:bidi="ar-SA"/>
    </w:rPr>
  </w:style>
  <w:style w:type="paragraph" w:customStyle="1" w:styleId="144">
    <w:name w:val="Reference"/>
    <w:basedOn w:val="104"/>
    <w:qFormat/>
    <w:uiPriority w:val="0"/>
    <w:pPr>
      <w:tabs>
        <w:tab w:val="left" w:pos="360"/>
      </w:tabs>
      <w:suppressAutoHyphens/>
      <w:autoSpaceDN/>
      <w:adjustRightInd/>
      <w:ind w:left="0" w:firstLine="0"/>
    </w:pPr>
    <w:rPr>
      <w:lang w:eastAsia="ar-SA"/>
    </w:rPr>
  </w:style>
  <w:style w:type="paragraph" w:customStyle="1" w:styleId="145">
    <w:name w:val="修订1"/>
    <w:hidden/>
    <w:semiHidden/>
    <w:qFormat/>
    <w:uiPriority w:val="99"/>
    <w:rPr>
      <w:rFonts w:ascii="Times New Roman" w:hAnsi="Times New Roman" w:eastAsia="宋体" w:cs="Times New Roman"/>
      <w:lang w:val="en-GB" w:eastAsia="en-US" w:bidi="ar-SA"/>
    </w:rPr>
  </w:style>
  <w:style w:type="paragraph" w:customStyle="1" w:styleId="146">
    <w:name w:val="LGTdoc_본문"/>
    <w:basedOn w:val="1"/>
    <w:qFormat/>
    <w:uiPriority w:val="0"/>
    <w:pPr>
      <w:widowControl w:val="0"/>
      <w:autoSpaceDE w:val="0"/>
      <w:autoSpaceDN w:val="0"/>
      <w:adjustRightInd w:val="0"/>
      <w:snapToGrid w:val="0"/>
      <w:spacing w:after="0" w:afterLines="50" w:line="264" w:lineRule="auto"/>
    </w:pPr>
    <w:rPr>
      <w:rFonts w:eastAsia="Batang"/>
      <w:kern w:val="2"/>
      <w:sz w:val="22"/>
      <w:szCs w:val="24"/>
      <w:lang w:val="en-US" w:eastAsia="ko-KR"/>
    </w:rPr>
  </w:style>
  <w:style w:type="paragraph" w:customStyle="1" w:styleId="14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14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149">
    <w:name w:val="Placeholder Text"/>
    <w:semiHidden/>
    <w:qFormat/>
    <w:uiPriority w:val="99"/>
    <w:rPr>
      <w:color w:val="808080"/>
    </w:rPr>
  </w:style>
  <w:style w:type="character" w:customStyle="1" w:styleId="150">
    <w:name w:val="TAC Char"/>
    <w:link w:val="99"/>
    <w:qFormat/>
    <w:uiPriority w:val="0"/>
    <w:rPr>
      <w:rFonts w:ascii="Arial" w:hAnsi="Arial" w:eastAsia="宋体"/>
      <w:sz w:val="18"/>
      <w:lang w:eastAsia="en-US"/>
    </w:rPr>
  </w:style>
  <w:style w:type="character" w:customStyle="1" w:styleId="151">
    <w:name w:val="TH Char"/>
    <w:link w:val="102"/>
    <w:qFormat/>
    <w:uiPriority w:val="0"/>
    <w:rPr>
      <w:rFonts w:ascii="Arial" w:hAnsi="Arial" w:eastAsia="宋体"/>
      <w:b/>
      <w:lang w:eastAsia="en-US"/>
    </w:rPr>
  </w:style>
  <w:style w:type="character" w:customStyle="1" w:styleId="152">
    <w:name w:val="列表段落 字符"/>
    <w:link w:val="65"/>
    <w:qFormat/>
    <w:locked/>
    <w:uiPriority w:val="34"/>
    <w:rPr>
      <w:rFonts w:eastAsia="宋体"/>
      <w:lang w:val="en-GB" w:eastAsia="en-US"/>
    </w:rPr>
  </w:style>
  <w:style w:type="table" w:customStyle="1" w:styleId="153">
    <w:name w:val="网格表 4 - 着色 11"/>
    <w:basedOn w:val="50"/>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4">
    <w:name w:val="题注 字符"/>
    <w:link w:val="27"/>
    <w:qFormat/>
    <w:uiPriority w:val="0"/>
    <w:rPr>
      <w:rFonts w:eastAsia="宋体"/>
      <w:bCs/>
      <w:i/>
      <w:lang w:eastAsia="en-US"/>
    </w:rPr>
  </w:style>
  <w:style w:type="paragraph" w:customStyle="1" w:styleId="155">
    <w:name w:val="Proposal"/>
    <w:basedOn w:val="1"/>
    <w:link w:val="156"/>
    <w:qFormat/>
    <w:uiPriority w:val="0"/>
    <w:pPr>
      <w:numPr>
        <w:ilvl w:val="0"/>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156">
    <w:name w:val="Proposal Char"/>
    <w:basedOn w:val="52"/>
    <w:link w:val="155"/>
    <w:qFormat/>
    <w:uiPriority w:val="0"/>
    <w:rPr>
      <w:rFonts w:eastAsia="MS Mincho"/>
      <w:i/>
      <w:lang w:eastAsia="ja-JP"/>
    </w:rPr>
  </w:style>
  <w:style w:type="character" w:customStyle="1" w:styleId="157">
    <w:name w:val="NO Char"/>
    <w:basedOn w:val="52"/>
    <w:link w:val="103"/>
    <w:qFormat/>
    <w:locked/>
    <w:uiPriority w:val="0"/>
    <w:rPr>
      <w:rFonts w:eastAsia="宋体"/>
      <w:lang w:eastAsia="en-US"/>
    </w:rPr>
  </w:style>
  <w:style w:type="character" w:customStyle="1" w:styleId="158">
    <w:name w:val="B1 Char1"/>
    <w:basedOn w:val="52"/>
    <w:link w:val="122"/>
    <w:qFormat/>
    <w:locked/>
    <w:uiPriority w:val="0"/>
    <w:rPr>
      <w:rFonts w:eastAsia="宋体"/>
      <w:lang w:eastAsia="en-US"/>
    </w:rPr>
  </w:style>
  <w:style w:type="character" w:customStyle="1" w:styleId="159">
    <w:name w:val="B2 Char"/>
    <w:basedOn w:val="52"/>
    <w:link w:val="123"/>
    <w:qFormat/>
    <w:locked/>
    <w:uiPriority w:val="0"/>
    <w:rPr>
      <w:rFonts w:eastAsia="宋体"/>
      <w:lang w:eastAsia="en-US"/>
    </w:rPr>
  </w:style>
  <w:style w:type="character" w:customStyle="1" w:styleId="160">
    <w:name w:val="明显强调1"/>
    <w:basedOn w:val="52"/>
    <w:qFormat/>
    <w:uiPriority w:val="21"/>
    <w:rPr>
      <w:i/>
      <w:iCs/>
      <w:color w:val="4472C4" w:themeColor="accent1"/>
      <w14:textFill>
        <w14:solidFill>
          <w14:schemeClr w14:val="accent1"/>
        </w14:solidFill>
      </w14:textFill>
    </w:rPr>
  </w:style>
  <w:style w:type="character" w:customStyle="1" w:styleId="161">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62">
    <w:name w:val="Figure"/>
    <w:basedOn w:val="1"/>
    <w:link w:val="164"/>
    <w:qFormat/>
    <w:uiPriority w:val="0"/>
    <w:pPr>
      <w:numPr>
        <w:ilvl w:val="0"/>
        <w:numId w:val="10"/>
      </w:numPr>
      <w:overflowPunct w:val="0"/>
      <w:autoSpaceDE w:val="0"/>
      <w:autoSpaceDN w:val="0"/>
      <w:adjustRightInd w:val="0"/>
      <w:jc w:val="center"/>
      <w:textAlignment w:val="baseline"/>
    </w:pPr>
    <w:rPr>
      <w:lang w:val="en-US"/>
    </w:rPr>
  </w:style>
  <w:style w:type="paragraph" w:customStyle="1" w:styleId="163">
    <w:name w:val="Table"/>
    <w:basedOn w:val="162"/>
    <w:link w:val="166"/>
    <w:qFormat/>
    <w:uiPriority w:val="0"/>
    <w:pPr>
      <w:numPr>
        <w:numId w:val="11"/>
      </w:numPr>
    </w:pPr>
  </w:style>
  <w:style w:type="character" w:customStyle="1" w:styleId="164">
    <w:name w:val="Figure Char"/>
    <w:basedOn w:val="52"/>
    <w:link w:val="162"/>
    <w:qFormat/>
    <w:uiPriority w:val="0"/>
    <w:rPr>
      <w:lang w:eastAsia="en-US"/>
    </w:rPr>
  </w:style>
  <w:style w:type="paragraph" w:customStyle="1" w:styleId="165">
    <w:name w:val="Observation"/>
    <w:basedOn w:val="155"/>
    <w:link w:val="167"/>
    <w:qFormat/>
    <w:uiPriority w:val="0"/>
    <w:pPr>
      <w:numPr>
        <w:ilvl w:val="0"/>
        <w:numId w:val="12"/>
      </w:numPr>
      <w:ind w:left="0" w:firstLine="0"/>
    </w:pPr>
  </w:style>
  <w:style w:type="character" w:customStyle="1" w:styleId="166">
    <w:name w:val="Table Char"/>
    <w:basedOn w:val="164"/>
    <w:link w:val="163"/>
    <w:qFormat/>
    <w:uiPriority w:val="0"/>
    <w:rPr>
      <w:lang w:eastAsia="en-US"/>
    </w:rPr>
  </w:style>
  <w:style w:type="character" w:customStyle="1" w:styleId="167">
    <w:name w:val="Observation Char"/>
    <w:basedOn w:val="156"/>
    <w:link w:val="165"/>
    <w:qFormat/>
    <w:uiPriority w:val="0"/>
    <w:rPr>
      <w:rFonts w:eastAsia="MS Mincho"/>
      <w:lang w:eastAsia="ja-JP"/>
    </w:rPr>
  </w:style>
  <w:style w:type="table" w:customStyle="1" w:styleId="168">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9">
    <w:name w:val="Table Normal1"/>
    <w:basedOn w:val="50"/>
    <w:semiHidden/>
    <w:qFormat/>
    <w:uiPriority w:val="0"/>
    <w:rPr>
      <w:rFonts w:eastAsia="CG Times (WN)"/>
    </w:rPr>
  </w:style>
  <w:style w:type="character" w:customStyle="1" w:styleId="170">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Intense Emphasis1"/>
    <w:basedOn w:val="52"/>
    <w:qFormat/>
    <w:uiPriority w:val="21"/>
    <w:rPr>
      <w:i/>
      <w:iCs/>
      <w:color w:val="4472C4" w:themeColor="accent1"/>
      <w14:textFill>
        <w14:solidFill>
          <w14:schemeClr w14:val="accent1"/>
        </w14:solidFill>
      </w14:textFill>
    </w:rPr>
  </w:style>
  <w:style w:type="character" w:customStyle="1" w:styleId="172">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3">
    <w:name w:val="Book Title1"/>
    <w:basedOn w:val="52"/>
    <w:qFormat/>
    <w:uiPriority w:val="33"/>
    <w:rPr>
      <w:b/>
      <w:bCs/>
      <w:i/>
      <w:iCs/>
      <w:spacing w:val="5"/>
    </w:rPr>
  </w:style>
  <w:style w:type="character" w:customStyle="1" w:styleId="174">
    <w:name w:val="apple-converted-space"/>
    <w:basedOn w:val="52"/>
    <w:qFormat/>
    <w:uiPriority w:val="0"/>
  </w:style>
  <w:style w:type="paragraph" w:customStyle="1" w:styleId="175">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76">
    <w:name w:val="B1 (文字)"/>
    <w:qFormat/>
    <w:locked/>
    <w:uiPriority w:val="0"/>
    <w:rPr>
      <w:rFonts w:ascii="Times New Roman" w:hAnsi="Times New Roman" w:eastAsia="Times New Roman" w:cs="Times New Roman"/>
      <w:sz w:val="20"/>
      <w:szCs w:val="20"/>
      <w:lang w:val="en-GB"/>
    </w:rPr>
  </w:style>
  <w:style w:type="paragraph" w:customStyle="1" w:styleId="177">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78">
    <w:name w:val="TAL Car"/>
    <w:basedOn w:val="52"/>
    <w:link w:val="100"/>
    <w:qFormat/>
    <w:locked/>
    <w:uiPriority w:val="0"/>
    <w:rPr>
      <w:rFonts w:ascii="Arial" w:hAnsi="Arial" w:eastAsia="宋体"/>
      <w:sz w:val="18"/>
      <w:lang w:eastAsia="en-US"/>
    </w:rPr>
  </w:style>
  <w:style w:type="table" w:customStyle="1" w:styleId="179">
    <w:name w:val="普通表格1"/>
    <w:semiHidden/>
    <w:qFormat/>
    <w:uiPriority w:val="0"/>
    <w:rPr>
      <w:rFonts w:eastAsia="Times New Roman"/>
    </w:rPr>
    <w:tblPr>
      <w:tblCellMar>
        <w:top w:w="0" w:type="dxa"/>
        <w:left w:w="108" w:type="dxa"/>
        <w:bottom w:w="0" w:type="dxa"/>
        <w:right w:w="108" w:type="dxa"/>
      </w:tblCellMar>
    </w:tblPr>
  </w:style>
  <w:style w:type="table" w:customStyle="1" w:styleId="180">
    <w:name w:val="普通表格2"/>
    <w:semiHidden/>
    <w:qFormat/>
    <w:uiPriority w:val="0"/>
    <w:rPr>
      <w:rFonts w:eastAsia="Times New Roman"/>
    </w:rPr>
    <w:tblPr>
      <w:tblCellMar>
        <w:top w:w="0" w:type="dxa"/>
        <w:left w:w="108" w:type="dxa"/>
        <w:bottom w:w="0" w:type="dxa"/>
        <w:right w:w="108" w:type="dxa"/>
      </w:tblCellMar>
    </w:tblPr>
  </w:style>
  <w:style w:type="table" w:customStyle="1" w:styleId="181">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2">
    <w:name w:val="Doc-text2"/>
    <w:basedOn w:val="1"/>
    <w:link w:val="183"/>
    <w:qFormat/>
    <w:uiPriority w:val="0"/>
    <w:pPr>
      <w:tabs>
        <w:tab w:val="left" w:pos="1622"/>
      </w:tabs>
      <w:spacing w:after="0"/>
      <w:ind w:left="1622" w:hanging="363"/>
      <w:jc w:val="left"/>
    </w:pPr>
    <w:rPr>
      <w:rFonts w:ascii="Arial" w:hAnsi="Arial" w:eastAsia="MS Mincho"/>
      <w:szCs w:val="24"/>
      <w:lang w:eastAsia="en-GB"/>
    </w:rPr>
  </w:style>
  <w:style w:type="character" w:customStyle="1" w:styleId="183">
    <w:name w:val="Doc-text2 Char"/>
    <w:link w:val="182"/>
    <w:qFormat/>
    <w:uiPriority w:val="0"/>
    <w:rPr>
      <w:rFonts w:ascii="Arial" w:hAnsi="Arial" w:eastAsia="MS Mincho"/>
      <w:szCs w:val="24"/>
      <w:lang w:val="en-GB" w:eastAsia="en-GB"/>
    </w:rPr>
  </w:style>
  <w:style w:type="paragraph" w:customStyle="1" w:styleId="184">
    <w:name w:val="Agreement"/>
    <w:basedOn w:val="1"/>
    <w:next w:val="182"/>
    <w:qFormat/>
    <w:uiPriority w:val="99"/>
    <w:pPr>
      <w:numPr>
        <w:ilvl w:val="0"/>
        <w:numId w:val="13"/>
      </w:numPr>
      <w:spacing w:before="60" w:after="0"/>
      <w:jc w:val="left"/>
    </w:pPr>
    <w:rPr>
      <w:rFonts w:ascii="Arial" w:hAnsi="Arial" w:eastAsia="MS Mincho"/>
      <w:b/>
      <w:szCs w:val="24"/>
      <w:lang w:eastAsia="en-GB"/>
    </w:rPr>
  </w:style>
  <w:style w:type="character" w:customStyle="1" w:styleId="185">
    <w:name w:val="B1 Zchn"/>
    <w:qFormat/>
    <w:uiPriority w:val="0"/>
    <w:rPr>
      <w:lang w:eastAsia="en-US"/>
    </w:rPr>
  </w:style>
  <w:style w:type="paragraph" w:customStyle="1" w:styleId="186">
    <w:name w:val="text intend 1"/>
    <w:basedOn w:val="130"/>
    <w:qFormat/>
    <w:uiPriority w:val="0"/>
    <w:pPr>
      <w:numPr>
        <w:ilvl w:val="0"/>
        <w:numId w:val="14"/>
      </w:numPr>
      <w:spacing w:after="120"/>
    </w:pPr>
    <w:rPr>
      <w:rFonts w:eastAsia="MS Mincho"/>
    </w:rPr>
  </w:style>
  <w:style w:type="character" w:customStyle="1" w:styleId="187">
    <w:name w:val="TAH Car"/>
    <w:link w:val="98"/>
    <w:qFormat/>
    <w:uiPriority w:val="0"/>
    <w:rPr>
      <w:rFonts w:ascii="Arial" w:hAnsi="Arial" w:eastAsia="宋体"/>
      <w:b/>
      <w:sz w:val="18"/>
      <w:lang w:eastAsia="en-US"/>
    </w:rPr>
  </w:style>
  <w:style w:type="paragraph" w:customStyle="1" w:styleId="188">
    <w:name w:val="main text"/>
    <w:basedOn w:val="1"/>
    <w:link w:val="189"/>
    <w:qFormat/>
    <w:uiPriority w:val="0"/>
    <w:pPr>
      <w:spacing w:before="60" w:after="60" w:line="288" w:lineRule="auto"/>
      <w:ind w:firstLine="200" w:firstLineChars="200"/>
    </w:pPr>
    <w:rPr>
      <w:rFonts w:eastAsia="Malgun Gothic"/>
      <w:lang w:eastAsia="ko-KR"/>
    </w:rPr>
  </w:style>
  <w:style w:type="character" w:customStyle="1" w:styleId="189">
    <w:name w:val="main text Char"/>
    <w:link w:val="188"/>
    <w:qFormat/>
    <w:uiPriority w:val="0"/>
    <w:rPr>
      <w:rFonts w:eastAsia="Malgun Gothic"/>
      <w:lang w:val="en-GB" w:eastAsia="ko-KR"/>
    </w:rPr>
  </w:style>
  <w:style w:type="character" w:customStyle="1" w:styleId="190">
    <w:name w:val="列出段落 Char1"/>
    <w:qFormat/>
    <w:locked/>
    <w:uiPriority w:val="34"/>
    <w:rPr>
      <w:rFonts w:ascii="Times New Roman" w:hAnsi="Times New Roman"/>
      <w:snapToGrid w:val="0"/>
      <w:sz w:val="21"/>
      <w:szCs w:val="21"/>
    </w:rPr>
  </w:style>
  <w:style w:type="character" w:customStyle="1" w:styleId="191">
    <w:name w:val="列表段落 字符1"/>
    <w:qFormat/>
    <w:locked/>
    <w:uiPriority w:val="34"/>
    <w:rPr>
      <w:rFonts w:eastAsia="Calibri"/>
      <w:szCs w:val="22"/>
      <w:lang w:val="en-GB" w:eastAsia="en-US"/>
    </w:rPr>
  </w:style>
  <w:style w:type="character" w:customStyle="1" w:styleId="192">
    <w:name w:val="未处理的提及1"/>
    <w:basedOn w:val="52"/>
    <w:semiHidden/>
    <w:unhideWhenUsed/>
    <w:qFormat/>
    <w:uiPriority w:val="99"/>
    <w:rPr>
      <w:color w:val="605E5C"/>
      <w:shd w:val="clear" w:color="auto" w:fill="E1DFDD"/>
    </w:rPr>
  </w:style>
  <w:style w:type="character" w:customStyle="1" w:styleId="193">
    <w:name w:val="未处理的提及2"/>
    <w:basedOn w:val="52"/>
    <w:semiHidden/>
    <w:unhideWhenUsed/>
    <w:qFormat/>
    <w:uiPriority w:val="99"/>
    <w:rPr>
      <w:color w:val="605E5C"/>
      <w:shd w:val="clear" w:color="auto" w:fill="E1DFDD"/>
    </w:rPr>
  </w:style>
  <w:style w:type="character" w:customStyle="1" w:styleId="194">
    <w:name w:val="font41"/>
    <w:qFormat/>
    <w:uiPriority w:val="0"/>
    <w:rPr>
      <w:rFonts w:hint="default" w:ascii="Times New Roman" w:hAnsi="Times New Roman" w:cs="Times New Roman"/>
      <w:color w:val="FF0000"/>
      <w:sz w:val="20"/>
      <w:szCs w:val="20"/>
      <w:u w:val="none"/>
    </w:rPr>
  </w:style>
  <w:style w:type="character" w:customStyle="1" w:styleId="195">
    <w:name w:val="font21"/>
    <w:qFormat/>
    <w:uiPriority w:val="0"/>
    <w:rPr>
      <w:rFonts w:hint="default" w:ascii="Times New Roman" w:hAnsi="Times New Roman" w:cs="Times New Roman"/>
      <w:color w:val="000000"/>
      <w:sz w:val="20"/>
      <w:szCs w:val="20"/>
      <w:u w:val="none"/>
    </w:rPr>
  </w:style>
  <w:style w:type="character" w:customStyle="1" w:styleId="196">
    <w:name w:val="font31"/>
    <w:basedOn w:val="52"/>
    <w:qFormat/>
    <w:uiPriority w:val="0"/>
    <w:rPr>
      <w:rFonts w:hint="default" w:ascii="Times New Roman" w:hAnsi="Times New Roman" w:cs="Times New Roman"/>
      <w:color w:val="000000"/>
      <w:sz w:val="20"/>
      <w:szCs w:val="20"/>
      <w:u w:val="none"/>
    </w:rPr>
  </w:style>
  <w:style w:type="character" w:customStyle="1" w:styleId="197">
    <w:name w:val="列表段落 字符2"/>
    <w:qFormat/>
    <w:locked/>
    <w:uiPriority w:val="0"/>
    <w:rPr>
      <w:rFonts w:asciiTheme="minorHAnsi" w:hAnsiTheme="minorHAnsi" w:eastAsiaTheme="minorEastAsia" w:cstheme="minorBidi"/>
      <w:kern w:val="2"/>
      <w:sz w:val="22"/>
      <w:szCs w:val="22"/>
      <w14:ligatures w14:val="standardContextual"/>
    </w:rPr>
  </w:style>
  <w:style w:type="paragraph" w:customStyle="1" w:styleId="198">
    <w:name w:val="!ZTE-Observation-2021"/>
    <w:basedOn w:val="1"/>
    <w:qFormat/>
    <w:uiPriority w:val="0"/>
    <w:pPr>
      <w:numPr>
        <w:ilvl w:val="0"/>
        <w:numId w:val="15"/>
      </w:numPr>
      <w:snapToGrid w:val="0"/>
      <w:spacing w:before="30" w:beforeLines="30" w:after="30" w:afterLines="30" w:line="288" w:lineRule="auto"/>
      <w:ind w:left="0" w:firstLine="0"/>
      <w:jc w:val="left"/>
      <w:textAlignment w:val="center"/>
    </w:pPr>
    <w:rPr>
      <w:rFonts w:cs="宋体" w:eastAsiaTheme="minorEastAsia"/>
      <w:b/>
      <w:bCs/>
      <w:i/>
      <w:iCs/>
    </w:rPr>
  </w:style>
  <w:style w:type="paragraph" w:customStyle="1" w:styleId="199">
    <w:name w:val="!ZTE-Proposal-2021 + 段前: 0.5 行 段后: 0.5 行"/>
    <w:basedOn w:val="1"/>
    <w:qFormat/>
    <w:uiPriority w:val="0"/>
    <w:pPr>
      <w:numPr>
        <w:ilvl w:val="0"/>
        <w:numId w:val="16"/>
      </w:numPr>
      <w:spacing w:before="30" w:beforeLines="30" w:after="30" w:afterLines="30" w:line="288" w:lineRule="auto"/>
      <w:jc w:val="left"/>
    </w:pPr>
    <w:rPr>
      <w:rFonts w:cs="宋体" w:eastAsiaTheme="minorEastAsia"/>
      <w:b/>
      <w:bCs/>
      <w:i/>
      <w:iCs/>
    </w:rPr>
  </w:style>
  <w:style w:type="paragraph" w:customStyle="1" w:styleId="200">
    <w:name w:val="sub-proposal"/>
    <w:basedOn w:val="1"/>
    <w:qFormat/>
    <w:uiPriority w:val="0"/>
    <w:pPr>
      <w:numPr>
        <w:ilvl w:val="0"/>
        <w:numId w:val="17"/>
      </w:numPr>
      <w:tabs>
        <w:tab w:val="left" w:pos="0"/>
        <w:tab w:val="left" w:pos="567"/>
        <w:tab w:val="left" w:pos="993"/>
      </w:tabs>
      <w:spacing w:before="30" w:beforeLines="30" w:after="30" w:afterLines="30" w:line="288" w:lineRule="auto"/>
      <w:ind w:left="0" w:firstLine="0"/>
      <w:jc w:val="left"/>
    </w:pPr>
    <w:rPr>
      <w:rFonts w:eastAsiaTheme="minorEastAsia"/>
      <w:b/>
      <w:bCs/>
      <w:i/>
      <w:iCs/>
    </w:rPr>
  </w:style>
  <w:style w:type="paragraph" w:customStyle="1" w:styleId="201">
    <w:name w:val="sub-observation"/>
    <w:basedOn w:val="200"/>
    <w:qFormat/>
    <w:uiPriority w:val="0"/>
    <w:pPr>
      <w:numPr>
        <w:ilvl w:val="0"/>
        <w:numId w:val="18"/>
      </w:numPr>
      <w:ind w:left="0" w:firstLine="0"/>
    </w:pPr>
    <w:rPr>
      <w:rFonts w:eastAsia="宋体"/>
      <w:kern w:val="2"/>
      <w:lang w:val="en-US" w:eastAsia="zh-CN"/>
    </w:rPr>
  </w:style>
  <w:style w:type="character" w:customStyle="1" w:styleId="202">
    <w:name w:val="列出段落 字符1"/>
    <w:qFormat/>
    <w:locked/>
    <w:uiPriority w:val="34"/>
    <w:rPr>
      <w:rFonts w:eastAsia="Calibri"/>
      <w:szCs w:val="22"/>
      <w:lang w:val="en-GB" w:eastAsia="en-US"/>
    </w:rPr>
  </w:style>
  <w:style w:type="character" w:customStyle="1" w:styleId="203">
    <w:name w:val="TAL Char"/>
    <w:qFormat/>
    <w:uiPriority w:val="0"/>
    <w:rPr>
      <w:rFonts w:ascii="Arial" w:hAnsi="Arial" w:eastAsia="Times New Roman"/>
      <w:sz w:val="18"/>
      <w:lang w:eastAsia="en-US"/>
    </w:rPr>
  </w:style>
  <w:style w:type="character" w:customStyle="1" w:styleId="204">
    <w:name w:val="Proposal_style_nokia2023 Char"/>
    <w:basedOn w:val="52"/>
    <w:link w:val="205"/>
    <w:qFormat/>
    <w:locked/>
    <w:uiPriority w:val="0"/>
    <w:rPr>
      <w:rFonts w:eastAsiaTheme="minorHAnsi" w:cstheme="minorBidi"/>
      <w:b/>
      <w:bCs/>
      <w:kern w:val="2"/>
      <w:szCs w:val="22"/>
      <w:lang w:eastAsia="ja-JP"/>
    </w:rPr>
  </w:style>
  <w:style w:type="paragraph" w:customStyle="1" w:styleId="205">
    <w:name w:val="Proposal_style_nokia2023"/>
    <w:basedOn w:val="1"/>
    <w:link w:val="204"/>
    <w:qFormat/>
    <w:uiPriority w:val="0"/>
    <w:pPr>
      <w:numPr>
        <w:ilvl w:val="0"/>
        <w:numId w:val="19"/>
      </w:numPr>
      <w:spacing w:after="0" w:line="257" w:lineRule="auto"/>
    </w:pPr>
    <w:rPr>
      <w:rFonts w:eastAsiaTheme="minorHAnsi" w:cstheme="minorBidi"/>
      <w:b/>
      <w:bCs/>
      <w:kern w:val="2"/>
      <w:szCs w:val="22"/>
      <w:lang w:val="en-US" w:eastAsia="ja-JP"/>
    </w:rPr>
  </w:style>
  <w:style w:type="paragraph" w:customStyle="1" w:styleId="206">
    <w:name w:val="NORMAL_Tdoc_Nokia"/>
    <w:basedOn w:val="1"/>
    <w:qFormat/>
    <w:uiPriority w:val="0"/>
    <w:pPr>
      <w:spacing w:after="0"/>
    </w:pPr>
    <w:rPr>
      <w:rFonts w:eastAsia="Times New Roman"/>
      <w:lang w:val="en-US" w:eastAsia="zh-CN"/>
    </w:rPr>
  </w:style>
  <w:style w:type="character" w:customStyle="1" w:styleId="207">
    <w:name w:val="TAH Char"/>
    <w:qFormat/>
    <w:uiPriority w:val="0"/>
    <w:rPr>
      <w:rFonts w:ascii="Arial" w:hAnsi="Arial"/>
      <w:b/>
      <w:sz w:val="18"/>
    </w:rPr>
  </w:style>
  <w:style w:type="character" w:customStyle="1" w:styleId="208">
    <w:name w:val="PL Char"/>
    <w:link w:val="111"/>
    <w:qFormat/>
    <w:uiPriority w:val="0"/>
    <w:rPr>
      <w:rFonts w:ascii="Courier New" w:hAnsi="Courier New"/>
      <w:sz w:val="16"/>
      <w:lang w:eastAsia="en-US"/>
    </w:rPr>
  </w:style>
  <w:style w:type="paragraph" w:customStyle="1" w:styleId="209">
    <w:name w:val="BL"/>
    <w:basedOn w:val="1"/>
    <w:qFormat/>
    <w:uiPriority w:val="0"/>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 w:type="paragraph" w:customStyle="1" w:styleId="210">
    <w:name w:val="无间隔1"/>
    <w:qFormat/>
    <w:uiPriority w:val="99"/>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BABC6FA2-FDF9-47AB-BC91-045A5B1FD039}">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3320</Words>
  <Characters>18929</Characters>
  <Lines>157</Lines>
  <Paragraphs>44</Paragraphs>
  <TotalTime>7</TotalTime>
  <ScaleCrop>false</ScaleCrop>
  <LinksUpToDate>false</LinksUpToDate>
  <CharactersWithSpaces>22205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2025-08-13T06:44:00Z</dcterms:created>
  <dc:creator>ZTE Corporation</dc:creator>
  <cp:lastModifiedBy>10339535</cp:lastModifiedBy>
  <cp:lastPrinted>2002-04-23T01:10:00Z</cp:lastPrinted>
  <dcterms:modified xsi:type="dcterms:W3CDTF">2025-08-14T09:37:23Z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